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261"/>
        <w:gridCol w:w="6095"/>
      </w:tblGrid>
      <w:tr w:rsidR="00D67C7E" w:rsidRPr="00D67C7E" w:rsidTr="005C3F9C">
        <w:trPr>
          <w:tblCellSpacing w:w="0" w:type="dxa"/>
        </w:trPr>
        <w:tc>
          <w:tcPr>
            <w:tcW w:w="3261" w:type="dxa"/>
            <w:shd w:val="clear" w:color="auto" w:fill="FFFFFF"/>
            <w:tcMar>
              <w:top w:w="0" w:type="dxa"/>
              <w:left w:w="108" w:type="dxa"/>
              <w:bottom w:w="0" w:type="dxa"/>
              <w:right w:w="108" w:type="dxa"/>
            </w:tcMar>
            <w:hideMark/>
          </w:tcPr>
          <w:p w:rsidR="008E5063" w:rsidRPr="00D67C7E" w:rsidRDefault="00C42C4C" w:rsidP="00DD1E3E">
            <w:pPr>
              <w:spacing w:before="60" w:after="60" w:line="240" w:lineRule="auto"/>
              <w:jc w:val="cente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2336" behindDoc="0" locked="0" layoutInCell="1" allowOverlap="1">
                      <wp:simplePos x="0" y="0"/>
                      <wp:positionH relativeFrom="column">
                        <wp:posOffset>673735</wp:posOffset>
                      </wp:positionH>
                      <wp:positionV relativeFrom="paragraph">
                        <wp:posOffset>467360</wp:posOffset>
                      </wp:positionV>
                      <wp:extent cx="438150" cy="6350"/>
                      <wp:effectExtent l="0" t="0" r="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5511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36.8pt" to="87.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" strokecolor="black [3200]" strokeweight=".5pt">
                      <v:stroke joinstyle="miter"/>
                      <o:lock v:ext="edit" shapetype="f"/>
                    </v:line>
                  </w:pict>
                </mc:Fallback>
              </mc:AlternateContent>
            </w:r>
            <w:r w:rsidR="008E5063" w:rsidRPr="00D67C7E">
              <w:rPr>
                <w:rFonts w:eastAsia="Times New Roman" w:cs="Times New Roman"/>
                <w:b/>
                <w:bCs/>
                <w:szCs w:val="28"/>
                <w:lang w:val="vi-VN"/>
              </w:rPr>
              <w:t>HỘI Đ</w:t>
            </w:r>
            <w:r w:rsidR="008E5063" w:rsidRPr="00D67C7E">
              <w:rPr>
                <w:rFonts w:eastAsia="Times New Roman" w:cs="Times New Roman"/>
                <w:b/>
                <w:bCs/>
                <w:szCs w:val="28"/>
              </w:rPr>
              <w:t>Ồ</w:t>
            </w:r>
            <w:r w:rsidR="008E5063" w:rsidRPr="00D67C7E">
              <w:rPr>
                <w:rFonts w:eastAsia="Times New Roman" w:cs="Times New Roman"/>
                <w:b/>
                <w:bCs/>
                <w:szCs w:val="28"/>
                <w:lang w:val="vi-VN"/>
              </w:rPr>
              <w:t>NG NHÂN DÂN</w:t>
            </w:r>
            <w:r w:rsidR="008E5063" w:rsidRPr="00D67C7E">
              <w:rPr>
                <w:rFonts w:eastAsia="Times New Roman" w:cs="Times New Roman"/>
                <w:b/>
                <w:bCs/>
                <w:szCs w:val="28"/>
              </w:rPr>
              <w:br/>
            </w:r>
            <w:r w:rsidR="008E5063" w:rsidRPr="00D67C7E">
              <w:rPr>
                <w:rFonts w:eastAsia="Times New Roman" w:cs="Times New Roman"/>
                <w:b/>
                <w:bCs/>
                <w:szCs w:val="28"/>
                <w:lang w:val="vi-VN"/>
              </w:rPr>
              <w:t>TỈNH HÀ NAM</w:t>
            </w:r>
            <w:r w:rsidR="008E5063" w:rsidRPr="00D67C7E">
              <w:rPr>
                <w:rFonts w:eastAsia="Times New Roman" w:cs="Times New Roman"/>
                <w:b/>
                <w:bCs/>
                <w:szCs w:val="28"/>
                <w:lang w:val="vi-VN"/>
              </w:rPr>
              <w:br/>
            </w:r>
          </w:p>
        </w:tc>
        <w:tc>
          <w:tcPr>
            <w:tcW w:w="6095" w:type="dxa"/>
            <w:shd w:val="clear" w:color="auto" w:fill="FFFFFF"/>
            <w:tcMar>
              <w:top w:w="0" w:type="dxa"/>
              <w:left w:w="108" w:type="dxa"/>
              <w:bottom w:w="0" w:type="dxa"/>
              <w:right w:w="108" w:type="dxa"/>
            </w:tcMar>
            <w:hideMark/>
          </w:tcPr>
          <w:p w:rsidR="008E5063" w:rsidRPr="00D67C7E" w:rsidRDefault="00C42C4C" w:rsidP="00DD1E3E">
            <w:pPr>
              <w:spacing w:before="60" w:after="60" w:line="240" w:lineRule="auto"/>
              <w:jc w:val="center"/>
              <w:rPr>
                <w:rFonts w:eastAsia="Times New Roman" w:cs="Times New Roman"/>
                <w:szCs w:val="28"/>
              </w:rPr>
            </w:pPr>
            <w:r>
              <w:rPr>
                <w:b/>
                <w:noProof/>
              </w:rP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467360</wp:posOffset>
                      </wp:positionV>
                      <wp:extent cx="2159000" cy="6350"/>
                      <wp:effectExtent l="0" t="0" r="1270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3206"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6.8pt" to="23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oHAIAADU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"/>
                  </w:pict>
                </mc:Fallback>
              </mc:AlternateContent>
            </w:r>
            <w:r w:rsidR="008E5063" w:rsidRPr="00D67C7E">
              <w:rPr>
                <w:rFonts w:eastAsia="Times New Roman" w:cs="Times New Roman"/>
                <w:b/>
                <w:bCs/>
                <w:szCs w:val="28"/>
                <w:lang w:val="vi-VN"/>
              </w:rPr>
              <w:t>CỘNG HÒA XÃ HỘI CHỦ NGHĨA VIỆT NAM</w:t>
            </w:r>
            <w:r w:rsidR="008E5063" w:rsidRPr="00D67C7E">
              <w:rPr>
                <w:rFonts w:eastAsia="Times New Roman" w:cs="Times New Roman"/>
                <w:b/>
                <w:bCs/>
                <w:szCs w:val="28"/>
                <w:lang w:val="vi-VN"/>
              </w:rPr>
              <w:br/>
              <w:t>Độc lập - Tự do - Hạnh phúc</w:t>
            </w:r>
            <w:r w:rsidR="008E5063" w:rsidRPr="00D67C7E">
              <w:rPr>
                <w:rFonts w:eastAsia="Times New Roman" w:cs="Times New Roman"/>
                <w:b/>
                <w:bCs/>
                <w:szCs w:val="28"/>
                <w:lang w:val="vi-VN"/>
              </w:rPr>
              <w:br/>
            </w:r>
          </w:p>
        </w:tc>
      </w:tr>
      <w:tr w:rsidR="00D67C7E" w:rsidRPr="00D67C7E" w:rsidTr="005C3F9C">
        <w:trPr>
          <w:tblCellSpacing w:w="0" w:type="dxa"/>
        </w:trPr>
        <w:tc>
          <w:tcPr>
            <w:tcW w:w="3261" w:type="dxa"/>
            <w:shd w:val="clear" w:color="auto" w:fill="FFFFFF"/>
            <w:tcMar>
              <w:top w:w="0" w:type="dxa"/>
              <w:left w:w="108" w:type="dxa"/>
              <w:bottom w:w="0" w:type="dxa"/>
              <w:right w:w="108" w:type="dxa"/>
            </w:tcMar>
            <w:hideMark/>
          </w:tcPr>
          <w:p w:rsidR="008E5063" w:rsidRPr="00D67C7E" w:rsidRDefault="008E5063" w:rsidP="00DD1E3E">
            <w:pPr>
              <w:spacing w:before="60" w:after="60" w:line="240" w:lineRule="auto"/>
              <w:jc w:val="center"/>
              <w:rPr>
                <w:rFonts w:eastAsia="Times New Roman" w:cs="Times New Roman"/>
                <w:szCs w:val="28"/>
                <w:lang w:val="vi-VN"/>
              </w:rPr>
            </w:pPr>
            <w:r w:rsidRPr="00D67C7E">
              <w:rPr>
                <w:rFonts w:eastAsia="Times New Roman" w:cs="Times New Roman"/>
                <w:szCs w:val="28"/>
                <w:lang w:val="vi-VN"/>
              </w:rPr>
              <w:t xml:space="preserve">Số:       </w:t>
            </w:r>
            <w:r w:rsidR="00D55E35" w:rsidRPr="00D67C7E">
              <w:rPr>
                <w:rFonts w:eastAsia="Times New Roman" w:cs="Times New Roman"/>
                <w:szCs w:val="28"/>
                <w:lang w:val="vi-VN"/>
              </w:rPr>
              <w:t xml:space="preserve"> </w:t>
            </w:r>
            <w:r w:rsidRPr="00D67C7E">
              <w:rPr>
                <w:rFonts w:eastAsia="Times New Roman" w:cs="Times New Roman"/>
                <w:szCs w:val="28"/>
                <w:lang w:val="vi-VN"/>
              </w:rPr>
              <w:t>/202</w:t>
            </w:r>
            <w:r w:rsidR="00FD1507" w:rsidRPr="00D67C7E">
              <w:rPr>
                <w:rFonts w:eastAsia="Times New Roman" w:cs="Times New Roman"/>
                <w:szCs w:val="28"/>
              </w:rPr>
              <w:t>4</w:t>
            </w:r>
            <w:r w:rsidRPr="00D67C7E">
              <w:rPr>
                <w:rFonts w:eastAsia="Times New Roman" w:cs="Times New Roman"/>
                <w:szCs w:val="28"/>
                <w:lang w:val="vi-VN"/>
              </w:rPr>
              <w:t>/NQ-HĐND</w:t>
            </w:r>
          </w:p>
          <w:p w:rsidR="00900B33" w:rsidRPr="00D67C7E" w:rsidRDefault="00900B33" w:rsidP="007F4FC6">
            <w:pPr>
              <w:spacing w:before="60" w:after="60" w:line="240" w:lineRule="auto"/>
              <w:jc w:val="center"/>
              <w:rPr>
                <w:rFonts w:eastAsia="Times New Roman" w:cs="Times New Roman"/>
                <w:i/>
                <w:szCs w:val="28"/>
              </w:rPr>
            </w:pPr>
            <w:r w:rsidRPr="00D67C7E">
              <w:rPr>
                <w:rFonts w:eastAsia="Times New Roman" w:cs="Times New Roman"/>
                <w:i/>
                <w:szCs w:val="28"/>
                <w:lang w:val="vi-VN"/>
              </w:rPr>
              <w:t>(</w:t>
            </w:r>
            <w:r w:rsidR="005171C2" w:rsidRPr="00D67C7E">
              <w:rPr>
                <w:rFonts w:eastAsia="Times New Roman" w:cs="Times New Roman"/>
                <w:i/>
                <w:szCs w:val="28"/>
              </w:rPr>
              <w:t>Dự thảo</w:t>
            </w:r>
            <w:r w:rsidR="00920078" w:rsidRPr="00D67C7E">
              <w:rPr>
                <w:rFonts w:eastAsia="Times New Roman" w:cs="Times New Roman"/>
                <w:i/>
                <w:szCs w:val="28"/>
              </w:rPr>
              <w:t xml:space="preserve"> toàn văn</w:t>
            </w:r>
            <w:r w:rsidRPr="00D67C7E">
              <w:rPr>
                <w:rFonts w:eastAsia="Times New Roman" w:cs="Times New Roman"/>
                <w:i/>
                <w:szCs w:val="28"/>
                <w:lang w:val="vi-VN"/>
              </w:rPr>
              <w:t>)</w:t>
            </w:r>
          </w:p>
        </w:tc>
        <w:tc>
          <w:tcPr>
            <w:tcW w:w="6095" w:type="dxa"/>
            <w:shd w:val="clear" w:color="auto" w:fill="FFFFFF"/>
            <w:tcMar>
              <w:top w:w="0" w:type="dxa"/>
              <w:left w:w="108" w:type="dxa"/>
              <w:bottom w:w="0" w:type="dxa"/>
              <w:right w:w="108" w:type="dxa"/>
            </w:tcMar>
            <w:hideMark/>
          </w:tcPr>
          <w:p w:rsidR="008E5063" w:rsidRPr="00D67C7E" w:rsidRDefault="008E5063" w:rsidP="00D5748F">
            <w:pPr>
              <w:spacing w:before="60" w:after="60" w:line="240" w:lineRule="auto"/>
              <w:jc w:val="center"/>
              <w:rPr>
                <w:rFonts w:eastAsia="Times New Roman" w:cs="Times New Roman"/>
                <w:szCs w:val="28"/>
              </w:rPr>
            </w:pPr>
            <w:r w:rsidRPr="00D67C7E">
              <w:rPr>
                <w:rFonts w:eastAsia="Times New Roman" w:cs="Times New Roman"/>
                <w:i/>
                <w:iCs/>
                <w:szCs w:val="28"/>
                <w:lang w:val="vi-VN"/>
              </w:rPr>
              <w:t xml:space="preserve">Hà Nam, ngày    </w:t>
            </w:r>
            <w:r w:rsidR="00D55E35" w:rsidRPr="00D67C7E">
              <w:rPr>
                <w:rFonts w:eastAsia="Times New Roman" w:cs="Times New Roman"/>
                <w:i/>
                <w:iCs/>
                <w:szCs w:val="28"/>
                <w:lang w:val="vi-VN"/>
              </w:rPr>
              <w:t xml:space="preserve"> </w:t>
            </w:r>
            <w:r w:rsidRPr="00D67C7E">
              <w:rPr>
                <w:rFonts w:eastAsia="Times New Roman" w:cs="Times New Roman"/>
                <w:i/>
                <w:iCs/>
                <w:szCs w:val="28"/>
                <w:lang w:val="vi-VN"/>
              </w:rPr>
              <w:t xml:space="preserve">  tháng </w:t>
            </w:r>
            <w:r w:rsidR="00D5748F">
              <w:rPr>
                <w:rFonts w:eastAsia="Times New Roman" w:cs="Times New Roman"/>
                <w:i/>
                <w:iCs/>
                <w:szCs w:val="28"/>
              </w:rPr>
              <w:t xml:space="preserve">      </w:t>
            </w:r>
            <w:r w:rsidRPr="00D67C7E">
              <w:rPr>
                <w:rFonts w:eastAsia="Times New Roman" w:cs="Times New Roman"/>
                <w:i/>
                <w:iCs/>
                <w:szCs w:val="28"/>
                <w:lang w:val="vi-VN"/>
              </w:rPr>
              <w:t> năm 202</w:t>
            </w:r>
            <w:r w:rsidR="00D5748F">
              <w:rPr>
                <w:rFonts w:eastAsia="Times New Roman" w:cs="Times New Roman"/>
                <w:i/>
                <w:iCs/>
                <w:szCs w:val="28"/>
              </w:rPr>
              <w:t>5</w:t>
            </w:r>
          </w:p>
        </w:tc>
      </w:tr>
    </w:tbl>
    <w:p w:rsidR="008E5063" w:rsidRPr="00D67C7E" w:rsidRDefault="008E5063" w:rsidP="00900B33">
      <w:pPr>
        <w:shd w:val="clear" w:color="auto" w:fill="FFFFFF"/>
        <w:spacing w:before="120" w:after="120" w:line="234" w:lineRule="atLeast"/>
        <w:jc w:val="center"/>
        <w:rPr>
          <w:rFonts w:eastAsia="Times New Roman" w:cs="Times New Roman"/>
          <w:szCs w:val="28"/>
        </w:rPr>
      </w:pPr>
      <w:r w:rsidRPr="00D67C7E">
        <w:rPr>
          <w:rFonts w:eastAsia="Times New Roman" w:cs="Times New Roman"/>
          <w:b/>
          <w:bCs/>
          <w:szCs w:val="28"/>
          <w:lang w:val="vi-VN"/>
        </w:rPr>
        <w:t>NGHỊ QUYẾT</w:t>
      </w:r>
    </w:p>
    <w:p w:rsidR="00603F42" w:rsidRDefault="00D5748F" w:rsidP="00603F42">
      <w:pPr>
        <w:spacing w:after="0" w:line="240" w:lineRule="auto"/>
        <w:jc w:val="center"/>
        <w:rPr>
          <w:b/>
          <w:bCs/>
          <w:spacing w:val="-4"/>
          <w:szCs w:val="28"/>
        </w:rPr>
      </w:pPr>
      <w:r>
        <w:rPr>
          <w:rFonts w:eastAsia="Times New Roman" w:cs="Times New Roman"/>
          <w:b/>
          <w:iCs/>
          <w:szCs w:val="28"/>
        </w:rPr>
        <w:t>Về việc</w:t>
      </w:r>
      <w:r w:rsidRPr="00A92B43">
        <w:rPr>
          <w:b/>
          <w:bCs/>
          <w:spacing w:val="-4"/>
          <w:szCs w:val="28"/>
          <w:lang w:val="vi-VN"/>
        </w:rPr>
        <w:t xml:space="preserve"> hỗ trợ </w:t>
      </w:r>
      <w:r>
        <w:rPr>
          <w:b/>
          <w:bCs/>
          <w:spacing w:val="-4"/>
          <w:szCs w:val="28"/>
        </w:rPr>
        <w:t>cán bộ,</w:t>
      </w:r>
      <w:r w:rsidRPr="00A92B43">
        <w:rPr>
          <w:b/>
          <w:bCs/>
          <w:spacing w:val="-4"/>
          <w:szCs w:val="28"/>
          <w:lang w:val="vi-VN"/>
        </w:rPr>
        <w:t xml:space="preserve"> công chức, viên chứ</w:t>
      </w:r>
      <w:r>
        <w:rPr>
          <w:b/>
          <w:bCs/>
          <w:spacing w:val="-4"/>
          <w:szCs w:val="28"/>
          <w:lang w:val="vi-VN"/>
        </w:rPr>
        <w:t xml:space="preserve">c </w:t>
      </w:r>
      <w:r w:rsidR="00E8602F">
        <w:rPr>
          <w:b/>
          <w:bCs/>
          <w:spacing w:val="-4"/>
          <w:szCs w:val="28"/>
        </w:rPr>
        <w:t>nghỉ công tác</w:t>
      </w:r>
    </w:p>
    <w:p w:rsidR="00D5748F" w:rsidRPr="00603F42" w:rsidRDefault="00603F42" w:rsidP="00603F42">
      <w:pPr>
        <w:spacing w:after="0" w:line="240" w:lineRule="auto"/>
        <w:jc w:val="center"/>
        <w:rPr>
          <w:b/>
          <w:bCs/>
          <w:spacing w:val="-4"/>
          <w:szCs w:val="28"/>
        </w:rPr>
      </w:pPr>
      <w:r>
        <w:rPr>
          <w:b/>
          <w:bCs/>
          <w:spacing w:val="-4"/>
          <w:szCs w:val="28"/>
        </w:rPr>
        <w:t xml:space="preserve">sau </w:t>
      </w:r>
      <w:r w:rsidR="00D5748F">
        <w:rPr>
          <w:b/>
          <w:bCs/>
          <w:spacing w:val="-4"/>
          <w:szCs w:val="28"/>
          <w:lang w:val="vi-VN"/>
        </w:rPr>
        <w:t>sắp xếp tổ chức bộ máy</w:t>
      </w:r>
      <w:r w:rsidR="00D5748F">
        <w:rPr>
          <w:b/>
          <w:bCs/>
          <w:spacing w:val="-4"/>
          <w:szCs w:val="28"/>
        </w:rPr>
        <w:t xml:space="preserve"> </w:t>
      </w:r>
      <w:r w:rsidR="00C409A1">
        <w:rPr>
          <w:b/>
          <w:bCs/>
          <w:spacing w:val="-4"/>
          <w:szCs w:val="28"/>
        </w:rPr>
        <w:t>của hệ thống chính trị</w:t>
      </w:r>
    </w:p>
    <w:p w:rsidR="00D5748F" w:rsidRDefault="00D5748F" w:rsidP="00D5748F">
      <w:pPr>
        <w:spacing w:after="0" w:line="240" w:lineRule="auto"/>
        <w:jc w:val="center"/>
        <w:rPr>
          <w:b/>
          <w:bCs/>
          <w:spacing w:val="-4"/>
          <w:szCs w:val="28"/>
          <w:lang w:val="vi-VN"/>
        </w:rPr>
      </w:pPr>
      <w:r>
        <w:rPr>
          <w:b/>
          <w:bCs/>
          <w:noProof/>
          <w:spacing w:val="-4"/>
          <w:szCs w:val="28"/>
        </w:rPr>
        <mc:AlternateContent>
          <mc:Choice Requires="wps">
            <w:drawing>
              <wp:anchor distT="0" distB="0" distL="114300" distR="114300" simplePos="0" relativeHeight="251663360" behindDoc="0" locked="0" layoutInCell="1" allowOverlap="1">
                <wp:simplePos x="0" y="0"/>
                <wp:positionH relativeFrom="column">
                  <wp:posOffset>1994329</wp:posOffset>
                </wp:positionH>
                <wp:positionV relativeFrom="paragraph">
                  <wp:posOffset>59690</wp:posOffset>
                </wp:positionV>
                <wp:extent cx="1812944"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1812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899E4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7.05pt,4.7pt" to="299.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" strokecolor="black [3200]" strokeweight=".5pt">
                <v:stroke joinstyle="miter"/>
              </v:line>
            </w:pict>
          </mc:Fallback>
        </mc:AlternateContent>
      </w:r>
    </w:p>
    <w:p w:rsidR="007B6E8E" w:rsidRPr="00D67C7E" w:rsidRDefault="007B6E8E" w:rsidP="007B6E8E">
      <w:pPr>
        <w:spacing w:after="0" w:line="240" w:lineRule="auto"/>
        <w:jc w:val="center"/>
        <w:rPr>
          <w:rFonts w:eastAsia="Times New Roman" w:cs="Times New Roman"/>
          <w:b/>
          <w:iCs/>
          <w:sz w:val="20"/>
          <w:szCs w:val="28"/>
          <w:lang w:val="vi-VN"/>
        </w:rPr>
      </w:pPr>
    </w:p>
    <w:p w:rsidR="008E5063" w:rsidRPr="00D67C7E" w:rsidRDefault="008E5063" w:rsidP="008E5063">
      <w:pPr>
        <w:shd w:val="clear" w:color="auto" w:fill="FFFFFF"/>
        <w:spacing w:before="120" w:after="120" w:line="234" w:lineRule="atLeast"/>
        <w:jc w:val="center"/>
        <w:rPr>
          <w:rFonts w:eastAsia="Times New Roman" w:cs="Times New Roman"/>
          <w:szCs w:val="28"/>
        </w:rPr>
      </w:pPr>
      <w:r w:rsidRPr="00D67C7E">
        <w:rPr>
          <w:rFonts w:eastAsia="Times New Roman" w:cs="Times New Roman"/>
          <w:b/>
          <w:bCs/>
          <w:szCs w:val="28"/>
          <w:lang w:val="vi-VN"/>
        </w:rPr>
        <w:t>HỘI ĐỒNG NHÂN DÂN TỈNH HÀ NAM</w:t>
      </w:r>
      <w:r w:rsidRPr="00D67C7E">
        <w:rPr>
          <w:rFonts w:eastAsia="Times New Roman" w:cs="Times New Roman"/>
          <w:b/>
          <w:bCs/>
          <w:szCs w:val="28"/>
          <w:lang w:val="vi-VN"/>
        </w:rPr>
        <w:br/>
        <w:t xml:space="preserve">KHÓA </w:t>
      </w:r>
      <w:r w:rsidR="00BB537C" w:rsidRPr="00D67C7E">
        <w:rPr>
          <w:rFonts w:eastAsia="Times New Roman" w:cs="Times New Roman"/>
          <w:b/>
          <w:bCs/>
          <w:szCs w:val="28"/>
          <w:lang w:val="vi-VN"/>
        </w:rPr>
        <w:t>XIX</w:t>
      </w:r>
      <w:r w:rsidRPr="00D67C7E">
        <w:rPr>
          <w:rFonts w:eastAsia="Times New Roman" w:cs="Times New Roman"/>
          <w:b/>
          <w:bCs/>
          <w:szCs w:val="28"/>
          <w:lang w:val="vi-VN"/>
        </w:rPr>
        <w:t xml:space="preserve">, KỲ HỌP THỨ </w:t>
      </w:r>
      <w:r w:rsidR="00603F42">
        <w:rPr>
          <w:rFonts w:eastAsia="Times New Roman" w:cs="Times New Roman"/>
          <w:b/>
          <w:bCs/>
          <w:szCs w:val="28"/>
        </w:rPr>
        <w:t>……………….</w:t>
      </w:r>
    </w:p>
    <w:p w:rsidR="001F3CD8" w:rsidRPr="00D67C7E" w:rsidRDefault="001F3CD8" w:rsidP="006A612D">
      <w:pPr>
        <w:shd w:val="clear" w:color="auto" w:fill="FFFFFF"/>
        <w:ind w:firstLine="720"/>
        <w:contextualSpacing/>
        <w:jc w:val="both"/>
        <w:rPr>
          <w:rFonts w:cs="Times New Roman"/>
          <w:i/>
          <w:iCs/>
          <w:sz w:val="4"/>
          <w:szCs w:val="28"/>
          <w:lang w:val="de-DE"/>
        </w:rPr>
      </w:pPr>
    </w:p>
    <w:p w:rsidR="001D7BD9" w:rsidRPr="00D67C7E" w:rsidRDefault="001D7BD9" w:rsidP="00D5748F">
      <w:pPr>
        <w:ind w:firstLine="567"/>
        <w:jc w:val="both"/>
        <w:rPr>
          <w:rStyle w:val="Emphasis"/>
          <w:i w:val="0"/>
          <w:szCs w:val="28"/>
        </w:rPr>
      </w:pPr>
      <w:r w:rsidRPr="00D67C7E">
        <w:rPr>
          <w:rStyle w:val="Emphasis"/>
          <w:szCs w:val="28"/>
        </w:rPr>
        <w:t>Căn cứ</w:t>
      </w:r>
      <w:r w:rsidRPr="00D67C7E">
        <w:rPr>
          <w:rStyle w:val="Emphasis"/>
          <w:i w:val="0"/>
          <w:szCs w:val="28"/>
        </w:rPr>
        <w:t> </w:t>
      </w:r>
      <w:r w:rsidRPr="00D67C7E">
        <w:rPr>
          <w:rStyle w:val="doclink"/>
          <w:i/>
          <w:iCs/>
          <w:szCs w:val="28"/>
        </w:rPr>
        <w:t>Luật Tổ chức chính quyền địa phương</w:t>
      </w:r>
      <w:r w:rsidRPr="00D67C7E">
        <w:rPr>
          <w:rStyle w:val="Emphasis"/>
          <w:i w:val="0"/>
          <w:szCs w:val="28"/>
        </w:rPr>
        <w:t> </w:t>
      </w:r>
      <w:r w:rsidRPr="00D67C7E">
        <w:rPr>
          <w:rStyle w:val="Emphasis"/>
          <w:szCs w:val="28"/>
        </w:rPr>
        <w:t>ngày 19 tháng 6 năm 2015</w:t>
      </w:r>
      <w:r w:rsidRPr="00D67C7E">
        <w:rPr>
          <w:rStyle w:val="Emphasis"/>
          <w:i w:val="0"/>
          <w:szCs w:val="28"/>
        </w:rPr>
        <w:t>; </w:t>
      </w:r>
      <w:r w:rsidRPr="00D67C7E">
        <w:rPr>
          <w:rStyle w:val="doclink"/>
          <w:i/>
          <w:iCs/>
          <w:szCs w:val="28"/>
        </w:rPr>
        <w:t>Luật sửa đổi, bổ sung một số điều của Luật Tổ chức Chính phủ và Luật Tổ chức chính quyền địa phương</w:t>
      </w:r>
      <w:r w:rsidRPr="00D67C7E">
        <w:rPr>
          <w:rStyle w:val="Emphasis"/>
          <w:i w:val="0"/>
          <w:szCs w:val="28"/>
        </w:rPr>
        <w:t> </w:t>
      </w:r>
      <w:r w:rsidRPr="00D67C7E">
        <w:rPr>
          <w:rStyle w:val="Emphasis"/>
          <w:szCs w:val="28"/>
        </w:rPr>
        <w:t>ngày 22 tháng 11 năm 2019;</w:t>
      </w:r>
    </w:p>
    <w:p w:rsidR="001D7BD9" w:rsidRPr="00D67C7E" w:rsidRDefault="001D7BD9" w:rsidP="00D5748F">
      <w:pPr>
        <w:ind w:firstLine="567"/>
        <w:jc w:val="both"/>
        <w:rPr>
          <w:rStyle w:val="Emphasis"/>
          <w:szCs w:val="28"/>
        </w:rPr>
      </w:pPr>
      <w:r w:rsidRPr="00D67C7E">
        <w:rPr>
          <w:rStyle w:val="Emphasis"/>
          <w:szCs w:val="28"/>
        </w:rPr>
        <w:t>Căn cứ </w:t>
      </w:r>
      <w:r w:rsidRPr="00D67C7E">
        <w:rPr>
          <w:rStyle w:val="doclink"/>
          <w:i/>
          <w:iCs/>
          <w:szCs w:val="28"/>
        </w:rPr>
        <w:t>Luật Ngân sách nhà nước</w:t>
      </w:r>
      <w:r w:rsidRPr="00D67C7E">
        <w:rPr>
          <w:rStyle w:val="Emphasis"/>
          <w:szCs w:val="28"/>
        </w:rPr>
        <w:t> ngày 25 tháng 6 năm 2015;</w:t>
      </w:r>
    </w:p>
    <w:p w:rsidR="001D7BD9" w:rsidRPr="00D67C7E" w:rsidRDefault="001D7BD9" w:rsidP="00D5748F">
      <w:pPr>
        <w:pStyle w:val="NormalWeb"/>
        <w:shd w:val="clear" w:color="auto" w:fill="FFFFFF"/>
        <w:spacing w:before="120" w:beforeAutospacing="0" w:after="120" w:afterAutospacing="0" w:line="360" w:lineRule="exact"/>
        <w:ind w:firstLine="567"/>
        <w:jc w:val="both"/>
        <w:rPr>
          <w:rStyle w:val="Emphasis"/>
          <w:sz w:val="28"/>
          <w:szCs w:val="28"/>
        </w:rPr>
      </w:pPr>
      <w:r w:rsidRPr="00D67C7E">
        <w:rPr>
          <w:rStyle w:val="Emphasis"/>
          <w:sz w:val="28"/>
          <w:szCs w:val="28"/>
        </w:rPr>
        <w:t>Căn cứ Nghị định số </w:t>
      </w:r>
      <w:r w:rsidRPr="00D67C7E">
        <w:rPr>
          <w:rStyle w:val="doclink"/>
          <w:i/>
          <w:iCs/>
          <w:sz w:val="28"/>
          <w:szCs w:val="28"/>
        </w:rPr>
        <w:t>163/2016/NĐ-CP</w:t>
      </w:r>
      <w:r w:rsidRPr="00D67C7E">
        <w:rPr>
          <w:rStyle w:val="Emphasis"/>
          <w:sz w:val="28"/>
          <w:szCs w:val="28"/>
        </w:rPr>
        <w:t> ngày 21 tháng 12 năm 2016 của Chính phủ quy định chi tiết thi hành một số điều của Luật Ngân sách nhà nước;</w:t>
      </w:r>
    </w:p>
    <w:p w:rsidR="00D5748F" w:rsidRPr="00D5748F" w:rsidRDefault="00D5748F" w:rsidP="00D5748F">
      <w:pPr>
        <w:ind w:firstLine="567"/>
        <w:jc w:val="both"/>
        <w:rPr>
          <w:rStyle w:val="doclink"/>
          <w:rFonts w:ascii="Times New Roman Italic" w:hAnsi="Times New Roman Italic"/>
          <w:i/>
          <w:spacing w:val="-2"/>
        </w:rPr>
      </w:pPr>
      <w:r w:rsidRPr="00D5748F">
        <w:rPr>
          <w:rStyle w:val="doclink"/>
          <w:rFonts w:ascii="Times New Roman Italic" w:hAnsi="Times New Roman Italic"/>
          <w:i/>
          <w:spacing w:val="-2"/>
        </w:rPr>
        <w:t xml:space="preserve">Căn cứ </w:t>
      </w:r>
      <w:r w:rsidRPr="00D5748F">
        <w:rPr>
          <w:rStyle w:val="doclink"/>
          <w:rFonts w:ascii="Times New Roman Italic" w:hAnsi="Times New Roman Italic"/>
          <w:i/>
          <w:iCs/>
          <w:spacing w:val="-2"/>
        </w:rPr>
        <w:t xml:space="preserve">Nghị định số 138/2020/NĐ-CP ngày 27 tháng 11 năm 2020 của Chính phủ quy định về tuyển dụng, sử dụng và quản lý công chức; Nghị định số 116/2024/NĐ-CP ngày 17/9/2024 của Chính phủ sửa đổi, bổ sung một số điều của Nghị định 138/2020/NĐ-CP ngày 27 tháng 11 năm 2020 của Chính phủ quy định về tuyển dụng, sử dụng và quản lý công chức và Nghị định số 06/2023/NĐ-CP ngày 21 tháng 02 năm 2023 quy định về kiểm định chất lượng đầu vào công chức; </w:t>
      </w:r>
    </w:p>
    <w:p w:rsidR="00D5748F" w:rsidRPr="00D5748F" w:rsidRDefault="00D5748F" w:rsidP="00D5748F">
      <w:pPr>
        <w:ind w:firstLine="567"/>
        <w:jc w:val="both"/>
        <w:rPr>
          <w:rStyle w:val="doclink"/>
          <w:i/>
        </w:rPr>
      </w:pPr>
      <w:r w:rsidRPr="00D5748F">
        <w:rPr>
          <w:rStyle w:val="doclink"/>
          <w:i/>
        </w:rPr>
        <w:t>Căn cứ Nghị định số 115/2020/NĐ-CP ngày 25 tháng 9 năm 2020 của Chính phủ quy định về tuyển dụng, sử dụng và quản lý viên chức;</w:t>
      </w:r>
      <w:r w:rsidRPr="00D5748F">
        <w:rPr>
          <w:rStyle w:val="doclink"/>
          <w:i/>
          <w:iCs/>
        </w:rPr>
        <w:t xml:space="preserve"> </w:t>
      </w:r>
      <w:r w:rsidRPr="00D5748F">
        <w:rPr>
          <w:rStyle w:val="doclink"/>
          <w:i/>
        </w:rPr>
        <w:t>Nghị định số 85/2023/NĐ-CP ngày 07 tháng 12 năm 2023 của Chính phủ sửa đổi, bổ sung một số điều của Nghị định số 115/2020/NĐ-CP;</w:t>
      </w:r>
    </w:p>
    <w:p w:rsidR="008E5063" w:rsidRPr="00D67C7E" w:rsidRDefault="001D7BD9" w:rsidP="00D5748F">
      <w:pPr>
        <w:spacing w:before="120" w:after="120" w:line="360" w:lineRule="exact"/>
        <w:ind w:firstLine="567"/>
        <w:jc w:val="both"/>
        <w:rPr>
          <w:rFonts w:eastAsia="Times New Roman" w:cs="Times New Roman"/>
          <w:i/>
          <w:iCs/>
          <w:szCs w:val="28"/>
          <w:lang w:val="vi-VN"/>
        </w:rPr>
      </w:pPr>
      <w:r w:rsidRPr="00D67C7E">
        <w:rPr>
          <w:rFonts w:eastAsia="Times New Roman" w:cs="Times New Roman"/>
          <w:i/>
          <w:iCs/>
          <w:szCs w:val="28"/>
          <w:lang w:val="vi-VN"/>
        </w:rPr>
        <w:t xml:space="preserve"> </w:t>
      </w:r>
      <w:r w:rsidR="008E5063" w:rsidRPr="00D67C7E">
        <w:rPr>
          <w:rFonts w:eastAsia="Times New Roman" w:cs="Times New Roman"/>
          <w:i/>
          <w:iCs/>
          <w:szCs w:val="28"/>
          <w:lang w:val="vi-VN"/>
        </w:rPr>
        <w:t>Xét Tờ trình số ..</w:t>
      </w:r>
      <w:r w:rsidR="006A5AE0" w:rsidRPr="00D67C7E">
        <w:rPr>
          <w:rFonts w:eastAsia="Times New Roman" w:cs="Times New Roman"/>
          <w:i/>
          <w:iCs/>
          <w:szCs w:val="28"/>
          <w:lang w:val="vi-VN"/>
        </w:rPr>
        <w:t>...../TTr-UBND ngày ......tháng</w:t>
      </w:r>
      <w:r w:rsidR="00D0634B" w:rsidRPr="00D67C7E">
        <w:rPr>
          <w:rFonts w:eastAsia="Times New Roman" w:cs="Times New Roman"/>
          <w:i/>
          <w:iCs/>
          <w:szCs w:val="28"/>
          <w:lang w:val="vi-VN"/>
        </w:rPr>
        <w:t xml:space="preserve"> </w:t>
      </w:r>
      <w:r w:rsidR="00143BBD" w:rsidRPr="00D67C7E">
        <w:rPr>
          <w:rFonts w:eastAsia="Times New Roman" w:cs="Times New Roman"/>
          <w:i/>
          <w:iCs/>
          <w:szCs w:val="28"/>
        </w:rPr>
        <w:t>10</w:t>
      </w:r>
      <w:r w:rsidR="00E162A9" w:rsidRPr="00D67C7E">
        <w:rPr>
          <w:rFonts w:eastAsia="Times New Roman" w:cs="Times New Roman"/>
          <w:i/>
          <w:iCs/>
          <w:szCs w:val="28"/>
        </w:rPr>
        <w:t xml:space="preserve"> </w:t>
      </w:r>
      <w:r w:rsidR="008E5063" w:rsidRPr="00D67C7E">
        <w:rPr>
          <w:rFonts w:eastAsia="Times New Roman" w:cs="Times New Roman"/>
          <w:i/>
          <w:iCs/>
          <w:szCs w:val="28"/>
          <w:lang w:val="vi-VN"/>
        </w:rPr>
        <w:t>năm 202</w:t>
      </w:r>
      <w:r w:rsidR="00D0634B" w:rsidRPr="00D67C7E">
        <w:rPr>
          <w:rFonts w:eastAsia="Times New Roman" w:cs="Times New Roman"/>
          <w:i/>
          <w:iCs/>
          <w:szCs w:val="28"/>
        </w:rPr>
        <w:t>4</w:t>
      </w:r>
      <w:r w:rsidR="008E5063" w:rsidRPr="00D67C7E">
        <w:rPr>
          <w:rFonts w:eastAsia="Times New Roman" w:cs="Times New Roman"/>
          <w:i/>
          <w:iCs/>
          <w:szCs w:val="28"/>
          <w:lang w:val="vi-VN"/>
        </w:rPr>
        <w:t xml:space="preserve"> của Ủy b</w:t>
      </w:r>
      <w:r w:rsidR="00143BBD" w:rsidRPr="00D67C7E">
        <w:rPr>
          <w:rFonts w:eastAsia="Times New Roman" w:cs="Times New Roman"/>
          <w:i/>
          <w:iCs/>
          <w:szCs w:val="28"/>
          <w:lang w:val="vi-VN"/>
        </w:rPr>
        <w:t xml:space="preserve">an nhân dân tỉnh Hà Nam về dự thảo </w:t>
      </w:r>
      <w:r w:rsidR="006A5AE0" w:rsidRPr="00D67C7E">
        <w:rPr>
          <w:rFonts w:eastAsia="Times New Roman" w:cs="Times New Roman"/>
          <w:i/>
          <w:iCs/>
          <w:szCs w:val="28"/>
          <w:lang w:val="de-DE"/>
        </w:rPr>
        <w:t>N</w:t>
      </w:r>
      <w:r w:rsidR="008E5063" w:rsidRPr="00D67C7E">
        <w:rPr>
          <w:rFonts w:eastAsia="Times New Roman" w:cs="Times New Roman"/>
          <w:i/>
          <w:iCs/>
          <w:szCs w:val="28"/>
          <w:lang w:val="vi-VN"/>
        </w:rPr>
        <w:t>ghị quyết</w:t>
      </w:r>
      <w:r w:rsidR="00D5748F">
        <w:rPr>
          <w:rFonts w:eastAsia="Times New Roman" w:cs="Times New Roman"/>
          <w:i/>
          <w:iCs/>
          <w:szCs w:val="28"/>
        </w:rPr>
        <w:t xml:space="preserve"> </w:t>
      </w:r>
      <w:r w:rsidR="00D5748F" w:rsidRPr="00D0634B">
        <w:rPr>
          <w:i/>
          <w:szCs w:val="28"/>
          <w:lang w:val="de-DE"/>
        </w:rPr>
        <w:t>q</w:t>
      </w:r>
      <w:r w:rsidR="00D5748F" w:rsidRPr="00D0634B">
        <w:rPr>
          <w:bCs/>
          <w:i/>
          <w:spacing w:val="-4"/>
          <w:szCs w:val="28"/>
          <w:lang w:val="vi-VN"/>
        </w:rPr>
        <w:t xml:space="preserve">uy định </w:t>
      </w:r>
      <w:r w:rsidR="00D5748F" w:rsidRPr="00D0634B">
        <w:rPr>
          <w:bCs/>
          <w:i/>
          <w:spacing w:val="-4"/>
          <w:szCs w:val="28"/>
        </w:rPr>
        <w:t>chính sách</w:t>
      </w:r>
      <w:r w:rsidR="00D5748F" w:rsidRPr="00D0634B">
        <w:rPr>
          <w:bCs/>
          <w:i/>
          <w:spacing w:val="-4"/>
          <w:szCs w:val="28"/>
          <w:lang w:val="vi-VN"/>
        </w:rPr>
        <w:t xml:space="preserve"> hỗ trợ đối với </w:t>
      </w:r>
      <w:r w:rsidR="00D5748F">
        <w:rPr>
          <w:bCs/>
          <w:i/>
          <w:spacing w:val="-4"/>
          <w:szCs w:val="28"/>
        </w:rPr>
        <w:t xml:space="preserve">cán bộ, </w:t>
      </w:r>
      <w:r w:rsidR="00D5748F" w:rsidRPr="00D0634B">
        <w:rPr>
          <w:bCs/>
          <w:i/>
          <w:spacing w:val="-4"/>
          <w:szCs w:val="28"/>
          <w:lang w:val="vi-VN"/>
        </w:rPr>
        <w:t xml:space="preserve">công chức, viên chức </w:t>
      </w:r>
      <w:r w:rsidR="00E8602F">
        <w:rPr>
          <w:bCs/>
          <w:i/>
          <w:spacing w:val="-4"/>
          <w:szCs w:val="28"/>
        </w:rPr>
        <w:t>nghỉ công tác</w:t>
      </w:r>
      <w:r w:rsidR="00D5748F">
        <w:rPr>
          <w:bCs/>
          <w:i/>
          <w:spacing w:val="-4"/>
          <w:szCs w:val="28"/>
        </w:rPr>
        <w:t xml:space="preserve"> </w:t>
      </w:r>
      <w:r w:rsidR="002B31D8">
        <w:rPr>
          <w:bCs/>
          <w:i/>
          <w:spacing w:val="-4"/>
          <w:szCs w:val="28"/>
        </w:rPr>
        <w:t>sau</w:t>
      </w:r>
      <w:r w:rsidR="00D5748F">
        <w:rPr>
          <w:bCs/>
          <w:i/>
          <w:spacing w:val="-4"/>
          <w:szCs w:val="28"/>
        </w:rPr>
        <w:t xml:space="preserve"> sắp xếp tổ chức bộ máy</w:t>
      </w:r>
      <w:r w:rsidR="002B31D8">
        <w:rPr>
          <w:bCs/>
          <w:i/>
          <w:spacing w:val="-4"/>
          <w:szCs w:val="28"/>
        </w:rPr>
        <w:t xml:space="preserve"> của hệ thống chính trị</w:t>
      </w:r>
      <w:r w:rsidR="008E5063" w:rsidRPr="00D67C7E">
        <w:rPr>
          <w:rFonts w:eastAsia="Times New Roman" w:cs="Times New Roman"/>
          <w:i/>
          <w:iCs/>
          <w:szCs w:val="28"/>
          <w:lang w:val="vi-VN"/>
        </w:rPr>
        <w:t>; Báo cáo thẩm tra của Ban Pháp ch</w:t>
      </w:r>
      <w:r w:rsidR="008E5063" w:rsidRPr="00D67C7E">
        <w:rPr>
          <w:rFonts w:eastAsia="Times New Roman" w:cs="Times New Roman"/>
          <w:i/>
          <w:iCs/>
          <w:szCs w:val="28"/>
          <w:lang w:val="de-DE"/>
        </w:rPr>
        <w:t>ế </w:t>
      </w:r>
      <w:r w:rsidR="008E5063" w:rsidRPr="00D67C7E">
        <w:rPr>
          <w:rFonts w:eastAsia="Times New Roman" w:cs="Times New Roman"/>
          <w:i/>
          <w:iCs/>
          <w:szCs w:val="28"/>
          <w:lang w:val="vi-VN"/>
        </w:rPr>
        <w:t xml:space="preserve">Hội đồng nhân dân tỉnh; </w:t>
      </w:r>
      <w:r w:rsidR="00143BBD" w:rsidRPr="00D67C7E">
        <w:rPr>
          <w:rFonts w:eastAsia="Times New Roman" w:cs="Times New Roman"/>
          <w:i/>
          <w:iCs/>
          <w:szCs w:val="28"/>
        </w:rPr>
        <w:t>ý</w:t>
      </w:r>
      <w:r w:rsidR="008E5063" w:rsidRPr="00D67C7E">
        <w:rPr>
          <w:rFonts w:eastAsia="Times New Roman" w:cs="Times New Roman"/>
          <w:i/>
          <w:iCs/>
          <w:szCs w:val="28"/>
          <w:lang w:val="vi-VN"/>
        </w:rPr>
        <w:t xml:space="preserve"> kiến thảo luận</w:t>
      </w:r>
      <w:r w:rsidR="00143BBD" w:rsidRPr="00D67C7E">
        <w:rPr>
          <w:rFonts w:eastAsia="Times New Roman" w:cs="Times New Roman"/>
          <w:i/>
          <w:iCs/>
          <w:szCs w:val="28"/>
        </w:rPr>
        <w:t>, thống nhất</w:t>
      </w:r>
      <w:r w:rsidR="00753263" w:rsidRPr="00D67C7E">
        <w:rPr>
          <w:rFonts w:eastAsia="Times New Roman" w:cs="Times New Roman"/>
          <w:i/>
          <w:iCs/>
          <w:szCs w:val="28"/>
        </w:rPr>
        <w:t xml:space="preserve"> </w:t>
      </w:r>
      <w:r w:rsidR="008E5063" w:rsidRPr="00D67C7E">
        <w:rPr>
          <w:rFonts w:eastAsia="Times New Roman" w:cs="Times New Roman"/>
          <w:i/>
          <w:iCs/>
          <w:szCs w:val="28"/>
          <w:lang w:val="vi-VN"/>
        </w:rPr>
        <w:t xml:space="preserve">của </w:t>
      </w:r>
      <w:r w:rsidR="00FC2101" w:rsidRPr="00D67C7E">
        <w:rPr>
          <w:rFonts w:eastAsia="Times New Roman" w:cs="Times New Roman"/>
          <w:i/>
          <w:iCs/>
          <w:szCs w:val="28"/>
        </w:rPr>
        <w:t xml:space="preserve">các </w:t>
      </w:r>
      <w:r w:rsidR="008E5063" w:rsidRPr="00D67C7E">
        <w:rPr>
          <w:rFonts w:eastAsia="Times New Roman" w:cs="Times New Roman"/>
          <w:i/>
          <w:iCs/>
          <w:szCs w:val="28"/>
          <w:lang w:val="vi-VN"/>
        </w:rPr>
        <w:t>đại biểu Hội đồng nhân dân tỉnh tại kỳ họp.</w:t>
      </w:r>
    </w:p>
    <w:p w:rsidR="008E5063" w:rsidRPr="00D67C7E" w:rsidRDefault="008E5063" w:rsidP="00762272">
      <w:pPr>
        <w:shd w:val="clear" w:color="auto" w:fill="FFFFFF"/>
        <w:spacing w:before="120" w:after="120" w:line="360" w:lineRule="exact"/>
        <w:jc w:val="center"/>
        <w:rPr>
          <w:rFonts w:eastAsia="Times New Roman" w:cs="Times New Roman"/>
          <w:b/>
          <w:bCs/>
          <w:szCs w:val="28"/>
          <w:lang w:val="vi-VN"/>
        </w:rPr>
      </w:pPr>
      <w:r w:rsidRPr="00D67C7E">
        <w:rPr>
          <w:rFonts w:eastAsia="Times New Roman" w:cs="Times New Roman"/>
          <w:b/>
          <w:bCs/>
          <w:szCs w:val="28"/>
          <w:lang w:val="vi-VN"/>
        </w:rPr>
        <w:t>QUYẾT NGHỊ:</w:t>
      </w:r>
    </w:p>
    <w:p w:rsidR="003107A8" w:rsidRPr="00D67C7E" w:rsidRDefault="008C6762" w:rsidP="00D67C7E">
      <w:pPr>
        <w:spacing w:before="100" w:after="100" w:line="360" w:lineRule="exact"/>
        <w:ind w:firstLine="709"/>
        <w:jc w:val="both"/>
        <w:rPr>
          <w:rFonts w:eastAsia="Times New Roman" w:cs="Times New Roman"/>
          <w:b/>
          <w:bCs/>
          <w:szCs w:val="28"/>
        </w:rPr>
      </w:pPr>
      <w:r w:rsidRPr="00D67C7E">
        <w:rPr>
          <w:rFonts w:eastAsia="Times New Roman" w:cs="Times New Roman"/>
          <w:b/>
          <w:bCs/>
          <w:szCs w:val="28"/>
          <w:lang w:val="vi-VN"/>
        </w:rPr>
        <w:t xml:space="preserve">Điều 1. </w:t>
      </w:r>
      <w:r w:rsidR="003107A8" w:rsidRPr="00D67C7E">
        <w:rPr>
          <w:rFonts w:eastAsia="Times New Roman" w:cs="Times New Roman"/>
          <w:b/>
          <w:bCs/>
          <w:szCs w:val="28"/>
        </w:rPr>
        <w:t>Phạm vi điều chỉnh, đối tượng áp dụng</w:t>
      </w:r>
    </w:p>
    <w:p w:rsidR="00221179" w:rsidRPr="00D67C7E" w:rsidRDefault="00221179" w:rsidP="00D67C7E">
      <w:pPr>
        <w:spacing w:before="100" w:after="100" w:line="360" w:lineRule="exact"/>
        <w:ind w:firstLine="709"/>
        <w:jc w:val="both"/>
        <w:rPr>
          <w:rFonts w:eastAsia="Times New Roman" w:cs="Times New Roman"/>
          <w:bCs/>
          <w:szCs w:val="28"/>
        </w:rPr>
      </w:pPr>
      <w:r w:rsidRPr="00D67C7E">
        <w:rPr>
          <w:rFonts w:eastAsia="Times New Roman" w:cs="Times New Roman"/>
          <w:bCs/>
          <w:szCs w:val="28"/>
        </w:rPr>
        <w:t>1. Phạm vi điều chỉnh</w:t>
      </w:r>
    </w:p>
    <w:p w:rsidR="002B31D8" w:rsidRPr="002B31D8" w:rsidRDefault="00D0634B" w:rsidP="002B31D8">
      <w:pPr>
        <w:spacing w:before="100" w:after="100" w:line="360" w:lineRule="exact"/>
        <w:ind w:firstLine="709"/>
        <w:jc w:val="both"/>
        <w:rPr>
          <w:rFonts w:cs="Times New Roman"/>
          <w:color w:val="000000" w:themeColor="text1"/>
          <w:spacing w:val="-2"/>
          <w:szCs w:val="28"/>
          <w:lang w:val="de-DE"/>
        </w:rPr>
      </w:pPr>
      <w:r w:rsidRPr="005E3D93">
        <w:rPr>
          <w:rFonts w:eastAsia="Times New Roman" w:cs="Times New Roman"/>
          <w:bCs/>
          <w:color w:val="000000" w:themeColor="text1"/>
          <w:szCs w:val="28"/>
        </w:rPr>
        <w:lastRenderedPageBreak/>
        <w:t xml:space="preserve">Nghị quyết này Quy </w:t>
      </w:r>
      <w:r w:rsidRPr="005E3D93">
        <w:rPr>
          <w:bCs/>
          <w:color w:val="000000" w:themeColor="text1"/>
          <w:szCs w:val="28"/>
          <w:lang w:val="vi-VN"/>
        </w:rPr>
        <w:t xml:space="preserve">định </w:t>
      </w:r>
      <w:r w:rsidRPr="005E3D93">
        <w:rPr>
          <w:bCs/>
          <w:color w:val="000000" w:themeColor="text1"/>
          <w:szCs w:val="28"/>
        </w:rPr>
        <w:t>chính sách</w:t>
      </w:r>
      <w:r w:rsidRPr="005E3D93">
        <w:rPr>
          <w:bCs/>
          <w:color w:val="000000" w:themeColor="text1"/>
          <w:szCs w:val="28"/>
          <w:lang w:val="vi-VN"/>
        </w:rPr>
        <w:t xml:space="preserve"> </w:t>
      </w:r>
      <w:r w:rsidR="002B31D8">
        <w:rPr>
          <w:bCs/>
          <w:color w:val="000000" w:themeColor="text1"/>
          <w:szCs w:val="28"/>
        </w:rPr>
        <w:t xml:space="preserve">hỗ </w:t>
      </w:r>
      <w:r w:rsidR="002B31D8" w:rsidRPr="002B31D8">
        <w:rPr>
          <w:bCs/>
          <w:spacing w:val="-4"/>
          <w:szCs w:val="28"/>
          <w:lang w:val="vi-VN"/>
        </w:rPr>
        <w:t xml:space="preserve">trợ đối với </w:t>
      </w:r>
      <w:r w:rsidR="002B31D8" w:rsidRPr="002B31D8">
        <w:rPr>
          <w:bCs/>
          <w:spacing w:val="-4"/>
          <w:szCs w:val="28"/>
        </w:rPr>
        <w:t xml:space="preserve">cán bộ, </w:t>
      </w:r>
      <w:r w:rsidR="002B31D8" w:rsidRPr="002B31D8">
        <w:rPr>
          <w:bCs/>
          <w:spacing w:val="-4"/>
          <w:szCs w:val="28"/>
          <w:lang w:val="vi-VN"/>
        </w:rPr>
        <w:t xml:space="preserve">công chức, viên chức </w:t>
      </w:r>
      <w:r w:rsidR="00E8602F">
        <w:rPr>
          <w:bCs/>
          <w:spacing w:val="-4"/>
          <w:szCs w:val="28"/>
        </w:rPr>
        <w:t xml:space="preserve">nghỉ công tác </w:t>
      </w:r>
      <w:r w:rsidR="002B31D8" w:rsidRPr="002B31D8">
        <w:rPr>
          <w:bCs/>
          <w:spacing w:val="-4"/>
          <w:szCs w:val="28"/>
        </w:rPr>
        <w:t>sau sắp xếp tổ chức bộ máy của hệ thống chính trị</w:t>
      </w:r>
      <w:r w:rsidR="002B31D8">
        <w:rPr>
          <w:bCs/>
          <w:spacing w:val="-4"/>
          <w:szCs w:val="28"/>
        </w:rPr>
        <w:t>.</w:t>
      </w:r>
      <w:r w:rsidR="002B31D8" w:rsidRPr="002B31D8">
        <w:rPr>
          <w:rFonts w:cs="Times New Roman"/>
          <w:color w:val="000000" w:themeColor="text1"/>
          <w:spacing w:val="-2"/>
          <w:szCs w:val="28"/>
          <w:lang w:val="de-DE"/>
        </w:rPr>
        <w:t xml:space="preserve"> </w:t>
      </w:r>
    </w:p>
    <w:p w:rsidR="00BD1214" w:rsidRPr="005E3D93" w:rsidRDefault="00221179" w:rsidP="002B31D8">
      <w:pPr>
        <w:spacing w:before="100" w:after="100" w:line="360" w:lineRule="exact"/>
        <w:ind w:firstLine="709"/>
        <w:jc w:val="both"/>
        <w:rPr>
          <w:rFonts w:cs="Times New Roman"/>
          <w:color w:val="000000" w:themeColor="text1"/>
          <w:spacing w:val="-2"/>
          <w:szCs w:val="28"/>
          <w:lang w:val="de-DE"/>
        </w:rPr>
      </w:pPr>
      <w:r w:rsidRPr="005E3D93">
        <w:rPr>
          <w:rFonts w:cs="Times New Roman"/>
          <w:color w:val="000000" w:themeColor="text1"/>
          <w:spacing w:val="-2"/>
          <w:szCs w:val="28"/>
          <w:lang w:val="de-DE"/>
        </w:rPr>
        <w:t>2. Đối tượng áp dụ</w:t>
      </w:r>
      <w:r w:rsidR="00BD1214" w:rsidRPr="005E3D93">
        <w:rPr>
          <w:rFonts w:cs="Times New Roman"/>
          <w:color w:val="000000" w:themeColor="text1"/>
          <w:spacing w:val="-2"/>
          <w:szCs w:val="28"/>
          <w:lang w:val="de-DE"/>
        </w:rPr>
        <w:t>ng</w:t>
      </w:r>
      <w:r w:rsidRPr="005E3D93">
        <w:rPr>
          <w:rFonts w:cs="Times New Roman"/>
          <w:color w:val="000000" w:themeColor="text1"/>
          <w:spacing w:val="-2"/>
          <w:szCs w:val="28"/>
          <w:lang w:val="de-DE"/>
        </w:rPr>
        <w:t xml:space="preserve"> </w:t>
      </w:r>
    </w:p>
    <w:p w:rsidR="00436864" w:rsidRPr="005E3D93" w:rsidRDefault="00436864" w:rsidP="00D67C7E">
      <w:pPr>
        <w:tabs>
          <w:tab w:val="left" w:pos="709"/>
        </w:tabs>
        <w:spacing w:before="100" w:after="100" w:line="360" w:lineRule="exact"/>
        <w:ind w:firstLine="709"/>
        <w:jc w:val="both"/>
        <w:rPr>
          <w:color w:val="000000" w:themeColor="text1"/>
          <w:szCs w:val="28"/>
          <w:lang w:val="de-DE"/>
        </w:rPr>
      </w:pPr>
      <w:r w:rsidRPr="005E3D93">
        <w:rPr>
          <w:color w:val="000000" w:themeColor="text1"/>
          <w:szCs w:val="28"/>
          <w:lang w:val="de-DE"/>
        </w:rPr>
        <w:t xml:space="preserve">a) </w:t>
      </w:r>
      <w:r w:rsidR="005E3D93" w:rsidRPr="005E3D93">
        <w:rPr>
          <w:color w:val="000000" w:themeColor="text1"/>
          <w:szCs w:val="28"/>
          <w:lang w:val="de-DE"/>
        </w:rPr>
        <w:t xml:space="preserve">Cán bộ, </w:t>
      </w:r>
      <w:r w:rsidR="005E3D93">
        <w:rPr>
          <w:color w:val="000000" w:themeColor="text1"/>
          <w:szCs w:val="28"/>
          <w:lang w:val="de-DE"/>
        </w:rPr>
        <w:t>công chức trong các cơ quan, tổ chức của Đảng, Nhà nước, tổ chức chính trị - xã hội từ cấp tỉnh đến cấp huyện;</w:t>
      </w:r>
    </w:p>
    <w:p w:rsidR="005E3D93" w:rsidRDefault="00436864" w:rsidP="00D67C7E">
      <w:pPr>
        <w:tabs>
          <w:tab w:val="left" w:pos="709"/>
        </w:tabs>
        <w:spacing w:before="100" w:after="100" w:line="360" w:lineRule="exact"/>
        <w:ind w:firstLine="709"/>
        <w:jc w:val="both"/>
        <w:rPr>
          <w:color w:val="000000" w:themeColor="text1"/>
          <w:szCs w:val="28"/>
        </w:rPr>
      </w:pPr>
      <w:r w:rsidRPr="005E3D93">
        <w:rPr>
          <w:color w:val="000000" w:themeColor="text1"/>
          <w:szCs w:val="28"/>
          <w:lang w:val="de-DE"/>
        </w:rPr>
        <w:t>b)</w:t>
      </w:r>
      <w:r w:rsidR="001472F9" w:rsidRPr="005E3D93">
        <w:rPr>
          <w:color w:val="000000" w:themeColor="text1"/>
          <w:szCs w:val="28"/>
          <w:lang w:val="de-DE"/>
        </w:rPr>
        <w:t xml:space="preserve"> </w:t>
      </w:r>
      <w:r w:rsidR="005E3D93" w:rsidRPr="005E3D93">
        <w:rPr>
          <w:color w:val="000000" w:themeColor="text1"/>
          <w:szCs w:val="28"/>
        </w:rPr>
        <w:t>V</w:t>
      </w:r>
      <w:r w:rsidR="001472F9" w:rsidRPr="005E3D93">
        <w:rPr>
          <w:color w:val="000000" w:themeColor="text1"/>
          <w:szCs w:val="28"/>
          <w:lang w:val="de-DE"/>
        </w:rPr>
        <w:t xml:space="preserve">iên chức </w:t>
      </w:r>
      <w:r w:rsidR="005E3D93" w:rsidRPr="005E3D93">
        <w:rPr>
          <w:color w:val="000000" w:themeColor="text1"/>
          <w:szCs w:val="28"/>
          <w:lang w:val="de-DE"/>
        </w:rPr>
        <w:t>trong các đơn vị sự nghiệp công lập của Đảng,</w:t>
      </w:r>
      <w:r w:rsidR="005E3D93">
        <w:rPr>
          <w:color w:val="FF0000"/>
          <w:szCs w:val="28"/>
          <w:lang w:val="de-DE"/>
        </w:rPr>
        <w:t xml:space="preserve"> </w:t>
      </w:r>
      <w:r w:rsidR="005E3D93">
        <w:rPr>
          <w:color w:val="000000" w:themeColor="text1"/>
          <w:szCs w:val="28"/>
          <w:lang w:val="de-DE"/>
        </w:rPr>
        <w:t>Nhà nước, tổ chức chính trị - xã hội từ cấp tỉnh đến cấp huyện</w:t>
      </w:r>
      <w:r w:rsidR="005E3D93">
        <w:rPr>
          <w:color w:val="000000" w:themeColor="text1"/>
          <w:szCs w:val="28"/>
        </w:rPr>
        <w:t>.</w:t>
      </w:r>
    </w:p>
    <w:p w:rsidR="0080072E" w:rsidRDefault="0080072E" w:rsidP="00D67C7E">
      <w:pPr>
        <w:tabs>
          <w:tab w:val="left" w:pos="709"/>
        </w:tabs>
        <w:spacing w:before="100" w:after="100" w:line="360" w:lineRule="exact"/>
        <w:ind w:firstLine="709"/>
        <w:jc w:val="both"/>
        <w:rPr>
          <w:color w:val="000000" w:themeColor="text1"/>
          <w:szCs w:val="28"/>
        </w:rPr>
      </w:pPr>
      <w:r>
        <w:rPr>
          <w:color w:val="000000" w:themeColor="text1"/>
          <w:szCs w:val="28"/>
        </w:rPr>
        <w:t>3. Đối tượng không áp dụng</w:t>
      </w:r>
    </w:p>
    <w:p w:rsidR="001472F9" w:rsidRDefault="0080072E" w:rsidP="0080072E">
      <w:pPr>
        <w:tabs>
          <w:tab w:val="left" w:pos="709"/>
        </w:tabs>
        <w:spacing w:before="100" w:after="100" w:line="360" w:lineRule="exact"/>
        <w:ind w:firstLine="709"/>
        <w:jc w:val="both"/>
        <w:rPr>
          <w:color w:val="000000" w:themeColor="text1"/>
          <w:szCs w:val="28"/>
          <w:lang w:val="de-DE"/>
        </w:rPr>
      </w:pPr>
      <w:r>
        <w:rPr>
          <w:color w:val="000000" w:themeColor="text1"/>
          <w:szCs w:val="28"/>
        </w:rPr>
        <w:t xml:space="preserve">a) </w:t>
      </w:r>
      <w:r w:rsidR="009A3E7E" w:rsidRPr="00F609C4">
        <w:rPr>
          <w:color w:val="FF0000"/>
          <w:szCs w:val="28"/>
          <w:lang w:val="vi-VN"/>
        </w:rPr>
        <w:t xml:space="preserve"> </w:t>
      </w:r>
      <w:r w:rsidRPr="005E3D93">
        <w:rPr>
          <w:color w:val="000000" w:themeColor="text1"/>
          <w:szCs w:val="28"/>
          <w:lang w:val="de-DE"/>
        </w:rPr>
        <w:t xml:space="preserve">Cán bộ, </w:t>
      </w:r>
      <w:r>
        <w:rPr>
          <w:color w:val="000000" w:themeColor="text1"/>
          <w:szCs w:val="28"/>
          <w:lang w:val="de-DE"/>
        </w:rPr>
        <w:t xml:space="preserve">công chức, viên chức </w:t>
      </w:r>
      <w:r w:rsidR="005B2FAF">
        <w:rPr>
          <w:color w:val="000000" w:themeColor="text1"/>
          <w:szCs w:val="28"/>
          <w:lang w:val="de-DE"/>
        </w:rPr>
        <w:t>còn dưới 12 tháng đến tuổi</w:t>
      </w:r>
      <w:r w:rsidR="00FE7DB4">
        <w:rPr>
          <w:color w:val="000000" w:themeColor="text1"/>
          <w:szCs w:val="28"/>
          <w:lang w:val="de-DE"/>
        </w:rPr>
        <w:t xml:space="preserve"> nghỉ hưu</w:t>
      </w:r>
      <w:r>
        <w:rPr>
          <w:color w:val="000000" w:themeColor="text1"/>
          <w:szCs w:val="28"/>
          <w:lang w:val="de-DE"/>
        </w:rPr>
        <w:t xml:space="preserve"> theo quy định của pháp luật;</w:t>
      </w:r>
    </w:p>
    <w:p w:rsidR="0080072E" w:rsidRPr="00FE7DB4" w:rsidRDefault="0080072E" w:rsidP="0080072E">
      <w:pPr>
        <w:tabs>
          <w:tab w:val="left" w:pos="709"/>
        </w:tabs>
        <w:spacing w:before="100" w:after="100" w:line="360" w:lineRule="exact"/>
        <w:ind w:firstLine="709"/>
        <w:jc w:val="both"/>
        <w:rPr>
          <w:color w:val="FF0000"/>
          <w:spacing w:val="-2"/>
          <w:szCs w:val="28"/>
          <w:lang w:val="vi-VN"/>
        </w:rPr>
      </w:pPr>
      <w:r w:rsidRPr="00FE7DB4">
        <w:rPr>
          <w:color w:val="000000" w:themeColor="text1"/>
          <w:spacing w:val="-2"/>
          <w:szCs w:val="28"/>
          <w:lang w:val="de-DE"/>
        </w:rPr>
        <w:t xml:space="preserve">b) </w:t>
      </w:r>
      <w:r w:rsidR="00FE7DB4" w:rsidRPr="00FE7DB4">
        <w:rPr>
          <w:color w:val="000000" w:themeColor="text1"/>
          <w:spacing w:val="-2"/>
          <w:szCs w:val="28"/>
          <w:lang w:val="de-DE"/>
        </w:rPr>
        <w:t>Các trường hợp đang bị xem xét kỷ luật, đang trong thời gian thi hành kỷ luật hoặc bị truy cứu trách nhiệm hình sự, chưa hoàn thành việc thanh toán các khoản tiền, tài sản thuộc trách nhiệm của cá nhân đối với cơ quan, tổ chức, đơn vị.</w:t>
      </w:r>
    </w:p>
    <w:p w:rsidR="001436EF" w:rsidRPr="00FE7DB4" w:rsidRDefault="00436864" w:rsidP="00D67C7E">
      <w:pPr>
        <w:spacing w:before="100" w:after="100" w:line="360" w:lineRule="exact"/>
        <w:ind w:firstLine="720"/>
        <w:jc w:val="both"/>
        <w:rPr>
          <w:b/>
          <w:noProof/>
          <w:color w:val="000000" w:themeColor="text1"/>
          <w:szCs w:val="28"/>
        </w:rPr>
      </w:pPr>
      <w:r w:rsidRPr="00FE7DB4">
        <w:rPr>
          <w:b/>
          <w:noProof/>
          <w:color w:val="000000" w:themeColor="text1"/>
          <w:szCs w:val="28"/>
        </w:rPr>
        <w:t xml:space="preserve">Điều 2. </w:t>
      </w:r>
      <w:r w:rsidR="00D7234E" w:rsidRPr="00FE7DB4">
        <w:rPr>
          <w:b/>
          <w:noProof/>
          <w:color w:val="000000" w:themeColor="text1"/>
          <w:szCs w:val="28"/>
        </w:rPr>
        <w:t>C</w:t>
      </w:r>
      <w:r w:rsidRPr="00FE7DB4">
        <w:rPr>
          <w:b/>
          <w:noProof/>
          <w:color w:val="000000" w:themeColor="text1"/>
          <w:szCs w:val="28"/>
        </w:rPr>
        <w:t>hính sách hỗ trợ</w:t>
      </w:r>
      <w:r w:rsidR="00D7234E" w:rsidRPr="00FE7DB4">
        <w:rPr>
          <w:b/>
          <w:noProof/>
          <w:color w:val="000000" w:themeColor="text1"/>
          <w:szCs w:val="28"/>
        </w:rPr>
        <w:t>, điều kiện được hưởng hỗ trợ</w:t>
      </w:r>
    </w:p>
    <w:p w:rsidR="00BD1214" w:rsidRDefault="00D7234E" w:rsidP="00D67C7E">
      <w:pPr>
        <w:tabs>
          <w:tab w:val="left" w:pos="709"/>
        </w:tabs>
        <w:spacing w:before="100" w:after="100" w:line="360" w:lineRule="exact"/>
        <w:ind w:left="705"/>
        <w:jc w:val="both"/>
        <w:rPr>
          <w:rFonts w:cs="Times New Roman"/>
          <w:color w:val="000000" w:themeColor="text1"/>
          <w:szCs w:val="28"/>
          <w:lang w:val="de-DE"/>
        </w:rPr>
      </w:pPr>
      <w:r w:rsidRPr="00FE7DB4">
        <w:rPr>
          <w:rFonts w:cs="Times New Roman"/>
          <w:color w:val="000000" w:themeColor="text1"/>
          <w:szCs w:val="28"/>
          <w:lang w:val="de-DE"/>
        </w:rPr>
        <w:t>1</w:t>
      </w:r>
      <w:r w:rsidR="00BD1214" w:rsidRPr="00FE7DB4">
        <w:rPr>
          <w:rFonts w:cs="Times New Roman"/>
          <w:color w:val="000000" w:themeColor="text1"/>
          <w:szCs w:val="28"/>
          <w:lang w:val="de-DE"/>
        </w:rPr>
        <w:t xml:space="preserve">. </w:t>
      </w:r>
      <w:r w:rsidRPr="00FE7DB4">
        <w:rPr>
          <w:rFonts w:cs="Times New Roman"/>
          <w:color w:val="000000" w:themeColor="text1"/>
          <w:szCs w:val="28"/>
          <w:lang w:val="de-DE"/>
        </w:rPr>
        <w:t xml:space="preserve">Chính sách hỗ trợ </w:t>
      </w:r>
    </w:p>
    <w:p w:rsidR="00FE7DB4" w:rsidRDefault="00FE7DB4" w:rsidP="00AA1C78">
      <w:pPr>
        <w:spacing w:before="100" w:after="100" w:line="360" w:lineRule="exact"/>
        <w:ind w:firstLine="567"/>
        <w:jc w:val="both"/>
        <w:rPr>
          <w:bCs/>
          <w:color w:val="000000" w:themeColor="text1"/>
          <w:szCs w:val="28"/>
        </w:rPr>
      </w:pPr>
      <w:r>
        <w:rPr>
          <w:rFonts w:cs="Times New Roman"/>
          <w:color w:val="000000" w:themeColor="text1"/>
          <w:szCs w:val="28"/>
          <w:lang w:val="de-DE"/>
        </w:rPr>
        <w:t xml:space="preserve">Ngoài các chế độ chính sách thực hiện theo quy định của </w:t>
      </w:r>
      <w:r w:rsidR="002B31D8">
        <w:rPr>
          <w:rFonts w:cs="Times New Roman"/>
          <w:color w:val="000000" w:themeColor="text1"/>
          <w:szCs w:val="28"/>
          <w:lang w:val="de-DE"/>
        </w:rPr>
        <w:t xml:space="preserve">Trung ương, </w:t>
      </w:r>
      <w:r>
        <w:rPr>
          <w:rFonts w:cs="Times New Roman"/>
          <w:color w:val="000000" w:themeColor="text1"/>
          <w:szCs w:val="28"/>
          <w:lang w:val="de-DE"/>
        </w:rPr>
        <w:t xml:space="preserve">Chính phủ về </w:t>
      </w:r>
      <w:r w:rsidR="00AA1C78">
        <w:rPr>
          <w:rFonts w:cs="Times New Roman"/>
          <w:color w:val="000000" w:themeColor="text1"/>
          <w:szCs w:val="28"/>
          <w:lang w:val="de-DE"/>
        </w:rPr>
        <w:t xml:space="preserve">tinh giản biên chế, </w:t>
      </w:r>
      <w:r w:rsidR="004C58A9">
        <w:rPr>
          <w:rFonts w:cs="Times New Roman"/>
          <w:color w:val="000000" w:themeColor="text1"/>
          <w:szCs w:val="28"/>
          <w:lang w:val="de-DE"/>
        </w:rPr>
        <w:t xml:space="preserve">nghỉ hưu do không đủ tuổi tái cử, </w:t>
      </w:r>
      <w:r w:rsidR="00AA1C78">
        <w:rPr>
          <w:rFonts w:cs="Times New Roman"/>
          <w:color w:val="000000" w:themeColor="text1"/>
          <w:szCs w:val="28"/>
          <w:lang w:val="de-DE"/>
        </w:rPr>
        <w:t xml:space="preserve">tỉnh Hà Nam hỗ trợ đối với </w:t>
      </w:r>
      <w:r w:rsidR="00AA1C78" w:rsidRPr="005E3D93">
        <w:rPr>
          <w:bCs/>
          <w:color w:val="000000" w:themeColor="text1"/>
          <w:szCs w:val="28"/>
        </w:rPr>
        <w:t xml:space="preserve">cán bộ, </w:t>
      </w:r>
      <w:r w:rsidR="00AA1C78" w:rsidRPr="005E3D93">
        <w:rPr>
          <w:bCs/>
          <w:color w:val="000000" w:themeColor="text1"/>
          <w:szCs w:val="28"/>
          <w:lang w:val="vi-VN"/>
        </w:rPr>
        <w:t xml:space="preserve">công chức, viên chức </w:t>
      </w:r>
      <w:bookmarkStart w:id="0" w:name="_GoBack"/>
      <w:bookmarkEnd w:id="0"/>
      <w:r w:rsidR="00AA1C78" w:rsidRPr="005E3D93">
        <w:rPr>
          <w:bCs/>
          <w:color w:val="000000" w:themeColor="text1"/>
          <w:szCs w:val="28"/>
        </w:rPr>
        <w:t xml:space="preserve">nghỉ công tác </w:t>
      </w:r>
      <w:r w:rsidR="002B31D8">
        <w:rPr>
          <w:bCs/>
          <w:color w:val="000000" w:themeColor="text1"/>
          <w:szCs w:val="28"/>
        </w:rPr>
        <w:t>sau</w:t>
      </w:r>
      <w:r w:rsidR="00AA1C78" w:rsidRPr="005E3D93">
        <w:rPr>
          <w:bCs/>
          <w:color w:val="000000" w:themeColor="text1"/>
          <w:szCs w:val="28"/>
        </w:rPr>
        <w:t xml:space="preserve"> sắp xếp tổ chức bộ máy</w:t>
      </w:r>
      <w:r w:rsidR="002B31D8">
        <w:rPr>
          <w:bCs/>
          <w:color w:val="000000" w:themeColor="text1"/>
          <w:szCs w:val="28"/>
        </w:rPr>
        <w:t xml:space="preserve"> của hệ thống chính trị</w:t>
      </w:r>
      <w:r w:rsidR="00AA1C78">
        <w:rPr>
          <w:bCs/>
          <w:color w:val="000000" w:themeColor="text1"/>
          <w:szCs w:val="28"/>
        </w:rPr>
        <w:t>, cụ thể như sau:</w:t>
      </w:r>
    </w:p>
    <w:p w:rsidR="00220747" w:rsidRDefault="004C58A9" w:rsidP="00AA1C78">
      <w:pPr>
        <w:spacing w:before="100" w:after="100" w:line="360" w:lineRule="exact"/>
        <w:ind w:firstLine="567"/>
        <w:jc w:val="both"/>
        <w:rPr>
          <w:bCs/>
          <w:color w:val="000000" w:themeColor="text1"/>
          <w:szCs w:val="28"/>
        </w:rPr>
      </w:pPr>
      <w:r>
        <w:rPr>
          <w:bCs/>
          <w:color w:val="000000" w:themeColor="text1"/>
          <w:szCs w:val="28"/>
        </w:rPr>
        <w:t xml:space="preserve">- </w:t>
      </w:r>
      <w:r w:rsidR="00220747">
        <w:rPr>
          <w:bCs/>
          <w:color w:val="000000" w:themeColor="text1"/>
          <w:szCs w:val="28"/>
        </w:rPr>
        <w:t>Hỗ trợ</w:t>
      </w:r>
      <w:r w:rsidR="00B01641">
        <w:rPr>
          <w:bCs/>
          <w:color w:val="000000" w:themeColor="text1"/>
          <w:szCs w:val="28"/>
        </w:rPr>
        <w:t xml:space="preserve"> một lần bằng 03 tháng tiền lương hiện hưởng</w:t>
      </w:r>
      <w:r>
        <w:rPr>
          <w:bCs/>
          <w:color w:val="000000" w:themeColor="text1"/>
          <w:szCs w:val="28"/>
        </w:rPr>
        <w:t xml:space="preserve"> </w:t>
      </w:r>
      <w:r w:rsidR="00B01641">
        <w:rPr>
          <w:bCs/>
          <w:color w:val="000000" w:themeColor="text1"/>
          <w:szCs w:val="28"/>
        </w:rPr>
        <w:t>cho mỗi năm nghỉ hưu trước tuổi</w:t>
      </w:r>
      <w:r>
        <w:rPr>
          <w:bCs/>
          <w:color w:val="000000" w:themeColor="text1"/>
          <w:szCs w:val="28"/>
        </w:rPr>
        <w:t>, nghỉ công tác chờ đủ tuổi nghỉ hưu.</w:t>
      </w:r>
    </w:p>
    <w:p w:rsidR="004C58A9" w:rsidRDefault="004C58A9" w:rsidP="00AA1C78">
      <w:pPr>
        <w:spacing w:before="100" w:after="100" w:line="360" w:lineRule="exact"/>
        <w:ind w:firstLine="567"/>
        <w:jc w:val="both"/>
        <w:rPr>
          <w:bCs/>
          <w:color w:val="000000" w:themeColor="text1"/>
          <w:szCs w:val="28"/>
        </w:rPr>
      </w:pPr>
      <w:r>
        <w:rPr>
          <w:bCs/>
          <w:color w:val="000000" w:themeColor="text1"/>
          <w:szCs w:val="28"/>
        </w:rPr>
        <w:t>Thời gian nghỉ hưu trước tuổi hoặc nghỉ công tác chờ đủ tuổi nghỉ hưu có số tháng lẻ được tính tròn theo nguyên tắc:</w:t>
      </w:r>
    </w:p>
    <w:p w:rsidR="004C58A9" w:rsidRDefault="0079784C" w:rsidP="00AA1C78">
      <w:pPr>
        <w:spacing w:before="100" w:after="100" w:line="360" w:lineRule="exact"/>
        <w:ind w:firstLine="567"/>
        <w:jc w:val="both"/>
        <w:rPr>
          <w:bCs/>
          <w:color w:val="000000" w:themeColor="text1"/>
          <w:szCs w:val="28"/>
        </w:rPr>
      </w:pPr>
      <w:r>
        <w:rPr>
          <w:bCs/>
          <w:color w:val="000000" w:themeColor="text1"/>
          <w:szCs w:val="28"/>
        </w:rPr>
        <w:t>+</w:t>
      </w:r>
      <w:r w:rsidR="004C58A9">
        <w:rPr>
          <w:bCs/>
          <w:color w:val="000000" w:themeColor="text1"/>
          <w:szCs w:val="28"/>
        </w:rPr>
        <w:t xml:space="preserve"> Từ 01 tháng đến đủ 06 tháng được tính bằng ½ năm;</w:t>
      </w:r>
    </w:p>
    <w:p w:rsidR="004C58A9" w:rsidRDefault="0079784C" w:rsidP="00AA1C78">
      <w:pPr>
        <w:spacing w:before="100" w:after="100" w:line="360" w:lineRule="exact"/>
        <w:ind w:firstLine="567"/>
        <w:jc w:val="both"/>
        <w:rPr>
          <w:bCs/>
          <w:color w:val="000000" w:themeColor="text1"/>
          <w:szCs w:val="28"/>
        </w:rPr>
      </w:pPr>
      <w:r>
        <w:rPr>
          <w:bCs/>
          <w:color w:val="000000" w:themeColor="text1"/>
          <w:szCs w:val="28"/>
        </w:rPr>
        <w:t>+</w:t>
      </w:r>
      <w:r w:rsidR="004C58A9">
        <w:rPr>
          <w:bCs/>
          <w:color w:val="000000" w:themeColor="text1"/>
          <w:szCs w:val="28"/>
        </w:rPr>
        <w:t xml:space="preserve"> Từ trên 06 tháng đến dưới 12 tháng được tính bằng 01 năm.</w:t>
      </w:r>
    </w:p>
    <w:p w:rsidR="0079784C" w:rsidRPr="00FE7DB4" w:rsidRDefault="0079784C" w:rsidP="0079784C">
      <w:pPr>
        <w:spacing w:before="100" w:after="100" w:line="360" w:lineRule="exact"/>
        <w:ind w:firstLine="567"/>
        <w:jc w:val="both"/>
        <w:rPr>
          <w:rFonts w:cs="Times New Roman"/>
          <w:color w:val="000000" w:themeColor="text1"/>
          <w:spacing w:val="-2"/>
          <w:szCs w:val="28"/>
          <w:lang w:val="de-DE"/>
        </w:rPr>
      </w:pPr>
      <w:r>
        <w:rPr>
          <w:bCs/>
          <w:i/>
          <w:color w:val="000000" w:themeColor="text1"/>
          <w:szCs w:val="28"/>
        </w:rPr>
        <w:t xml:space="preserve">Tiền lương hiện hưởng </w:t>
      </w:r>
      <w:r w:rsidRPr="0079784C">
        <w:rPr>
          <w:bCs/>
          <w:i/>
          <w:color w:val="000000" w:themeColor="text1"/>
          <w:szCs w:val="28"/>
        </w:rPr>
        <w:t xml:space="preserve">bao gồm: tiền lương theo hệ số, phụ cấp chức vụ, phụ cấp thâm niên vượt khung, phụ cấp thâm niên nghề </w:t>
      </w:r>
      <w:r>
        <w:rPr>
          <w:bCs/>
          <w:i/>
          <w:color w:val="000000" w:themeColor="text1"/>
          <w:szCs w:val="28"/>
        </w:rPr>
        <w:t>(</w:t>
      </w:r>
      <w:r w:rsidRPr="0079784C">
        <w:rPr>
          <w:bCs/>
          <w:i/>
          <w:color w:val="000000" w:themeColor="text1"/>
          <w:szCs w:val="28"/>
        </w:rPr>
        <w:t>nếu có)</w:t>
      </w:r>
      <w:r w:rsidR="002B31D8">
        <w:rPr>
          <w:bCs/>
          <w:i/>
          <w:color w:val="000000" w:themeColor="text1"/>
          <w:szCs w:val="28"/>
        </w:rPr>
        <w:t>.</w:t>
      </w:r>
    </w:p>
    <w:p w:rsidR="00D7234E" w:rsidRPr="0079784C" w:rsidRDefault="00D7234E" w:rsidP="00D67C7E">
      <w:pPr>
        <w:spacing w:before="100" w:after="100" w:line="360" w:lineRule="exact"/>
        <w:ind w:firstLine="720"/>
        <w:jc w:val="both"/>
        <w:rPr>
          <w:noProof/>
          <w:color w:val="000000" w:themeColor="text1"/>
          <w:szCs w:val="28"/>
        </w:rPr>
      </w:pPr>
      <w:r w:rsidRPr="0079784C">
        <w:rPr>
          <w:noProof/>
          <w:color w:val="000000" w:themeColor="text1"/>
          <w:szCs w:val="28"/>
        </w:rPr>
        <w:t>2. Điều kiện được hưởng hỗ trợ</w:t>
      </w:r>
    </w:p>
    <w:p w:rsidR="00E22C21" w:rsidRDefault="0079784C" w:rsidP="00D67C7E">
      <w:pPr>
        <w:spacing w:before="100" w:after="100" w:line="360" w:lineRule="exact"/>
        <w:ind w:firstLine="720"/>
        <w:jc w:val="both"/>
        <w:rPr>
          <w:noProof/>
          <w:color w:val="000000" w:themeColor="text1"/>
          <w:szCs w:val="28"/>
        </w:rPr>
      </w:pPr>
      <w:r w:rsidRPr="0079784C">
        <w:rPr>
          <w:noProof/>
          <w:color w:val="000000" w:themeColor="text1"/>
          <w:szCs w:val="28"/>
        </w:rPr>
        <w:t>Các đối tượng được quy định tại Khoản 2 Điều 1</w:t>
      </w:r>
      <w:r w:rsidR="00F802AE">
        <w:rPr>
          <w:noProof/>
          <w:color w:val="000000" w:themeColor="text1"/>
          <w:szCs w:val="28"/>
        </w:rPr>
        <w:t xml:space="preserve"> Nghị quyết này </w:t>
      </w:r>
      <w:r w:rsidRPr="0079784C">
        <w:rPr>
          <w:noProof/>
          <w:color w:val="000000" w:themeColor="text1"/>
          <w:szCs w:val="28"/>
        </w:rPr>
        <w:t>được hưởng chính sách hỗ trợ khi có đủ các điều kiện sau:</w:t>
      </w:r>
    </w:p>
    <w:p w:rsidR="005B2FAF" w:rsidRDefault="003B6CC4" w:rsidP="00D67C7E">
      <w:pPr>
        <w:spacing w:before="100" w:after="100" w:line="360" w:lineRule="exact"/>
        <w:ind w:firstLine="720"/>
        <w:jc w:val="both"/>
        <w:rPr>
          <w:noProof/>
          <w:color w:val="000000" w:themeColor="text1"/>
          <w:szCs w:val="28"/>
        </w:rPr>
      </w:pPr>
      <w:r>
        <w:rPr>
          <w:noProof/>
          <w:color w:val="000000" w:themeColor="text1"/>
          <w:szCs w:val="28"/>
        </w:rPr>
        <w:t xml:space="preserve">- </w:t>
      </w:r>
      <w:r w:rsidR="005B2FAF">
        <w:rPr>
          <w:noProof/>
          <w:color w:val="000000" w:themeColor="text1"/>
          <w:szCs w:val="28"/>
        </w:rPr>
        <w:t>Cán bộ, công chức, viên chức c</w:t>
      </w:r>
      <w:r>
        <w:rPr>
          <w:noProof/>
          <w:color w:val="000000" w:themeColor="text1"/>
          <w:szCs w:val="28"/>
        </w:rPr>
        <w:t xml:space="preserve">òn thời gian công tác </w:t>
      </w:r>
      <w:r w:rsidR="00691420">
        <w:rPr>
          <w:noProof/>
          <w:color w:val="000000" w:themeColor="text1"/>
          <w:szCs w:val="28"/>
        </w:rPr>
        <w:t xml:space="preserve">theo quy định của pháp luật </w:t>
      </w:r>
      <w:r w:rsidR="002B31D8">
        <w:rPr>
          <w:noProof/>
          <w:color w:val="000000" w:themeColor="text1"/>
          <w:szCs w:val="28"/>
        </w:rPr>
        <w:t xml:space="preserve">từ </w:t>
      </w:r>
      <w:r w:rsidR="005B2FAF">
        <w:rPr>
          <w:noProof/>
          <w:color w:val="000000" w:themeColor="text1"/>
          <w:szCs w:val="28"/>
        </w:rPr>
        <w:t>60 tháng</w:t>
      </w:r>
      <w:r w:rsidR="002B31D8">
        <w:rPr>
          <w:noProof/>
          <w:color w:val="000000" w:themeColor="text1"/>
          <w:szCs w:val="28"/>
        </w:rPr>
        <w:t xml:space="preserve"> trở xuống</w:t>
      </w:r>
      <w:r w:rsidR="00F802AE">
        <w:rPr>
          <w:noProof/>
          <w:color w:val="000000" w:themeColor="text1"/>
          <w:szCs w:val="28"/>
        </w:rPr>
        <w:t>, tại thời điểm cơ quan có thẩm quyền nhận được đơn nghỉ công tác theo nguyện vọng</w:t>
      </w:r>
      <w:r w:rsidR="005B2FAF">
        <w:rPr>
          <w:noProof/>
          <w:color w:val="000000" w:themeColor="text1"/>
          <w:szCs w:val="28"/>
        </w:rPr>
        <w:t>;</w:t>
      </w:r>
    </w:p>
    <w:p w:rsidR="0079784C" w:rsidRDefault="00AF594B" w:rsidP="00F802AE">
      <w:pPr>
        <w:spacing w:before="100" w:after="100" w:line="360" w:lineRule="exact"/>
        <w:ind w:firstLine="720"/>
        <w:jc w:val="both"/>
        <w:rPr>
          <w:noProof/>
          <w:color w:val="FF0000"/>
          <w:szCs w:val="28"/>
        </w:rPr>
      </w:pPr>
      <w:r>
        <w:rPr>
          <w:noProof/>
          <w:color w:val="000000" w:themeColor="text1"/>
          <w:szCs w:val="28"/>
        </w:rPr>
        <w:t>- Cơ quan, tổ chức, đơn vị nơi đang làm việc thực hiện sắp xếp</w:t>
      </w:r>
      <w:r w:rsidR="00A10DA8">
        <w:rPr>
          <w:noProof/>
          <w:color w:val="000000" w:themeColor="text1"/>
          <w:szCs w:val="28"/>
        </w:rPr>
        <w:t>,</w:t>
      </w:r>
      <w:r>
        <w:rPr>
          <w:noProof/>
          <w:color w:val="000000" w:themeColor="text1"/>
          <w:szCs w:val="28"/>
        </w:rPr>
        <w:t xml:space="preserve"> tổ chức </w:t>
      </w:r>
      <w:r w:rsidR="00A10DA8">
        <w:rPr>
          <w:noProof/>
          <w:color w:val="000000" w:themeColor="text1"/>
          <w:szCs w:val="28"/>
        </w:rPr>
        <w:t xml:space="preserve">lại </w:t>
      </w:r>
      <w:r>
        <w:rPr>
          <w:noProof/>
          <w:color w:val="000000" w:themeColor="text1"/>
          <w:szCs w:val="28"/>
        </w:rPr>
        <w:t xml:space="preserve">bộ máy </w:t>
      </w:r>
      <w:r w:rsidR="00DE4D5B" w:rsidRPr="002F1BCC">
        <w:rPr>
          <w:noProof/>
          <w:color w:val="000000" w:themeColor="text1"/>
          <w:szCs w:val="28"/>
        </w:rPr>
        <w:t>theo Đề án của cấp có thẩm quyền</w:t>
      </w:r>
      <w:r w:rsidR="00B17393" w:rsidRPr="002F1BCC">
        <w:rPr>
          <w:noProof/>
          <w:color w:val="000000" w:themeColor="text1"/>
          <w:szCs w:val="28"/>
        </w:rPr>
        <w:t>.</w:t>
      </w:r>
    </w:p>
    <w:p w:rsidR="00B17393" w:rsidRPr="00B17393" w:rsidRDefault="00B17393" w:rsidP="00F802AE">
      <w:pPr>
        <w:spacing w:before="100" w:after="100" w:line="360" w:lineRule="exact"/>
        <w:ind w:firstLine="720"/>
        <w:jc w:val="both"/>
        <w:rPr>
          <w:noProof/>
          <w:color w:val="000000" w:themeColor="text1"/>
          <w:szCs w:val="28"/>
        </w:rPr>
      </w:pPr>
      <w:r w:rsidRPr="00B17393">
        <w:rPr>
          <w:noProof/>
          <w:color w:val="000000" w:themeColor="text1"/>
          <w:szCs w:val="28"/>
        </w:rPr>
        <w:lastRenderedPageBreak/>
        <w:t>3. Thời gian thực hiện chế độ hỗ trợ</w:t>
      </w:r>
      <w:r>
        <w:rPr>
          <w:noProof/>
          <w:color w:val="000000" w:themeColor="text1"/>
          <w:szCs w:val="28"/>
        </w:rPr>
        <w:t>: từ 01/4/2025 đến hết ngày 30/3/2028</w:t>
      </w:r>
    </w:p>
    <w:p w:rsidR="007E5F36" w:rsidRPr="00B17393" w:rsidRDefault="008E5063" w:rsidP="00D67C7E">
      <w:pPr>
        <w:spacing w:before="100" w:after="100" w:line="360" w:lineRule="exact"/>
        <w:ind w:firstLine="709"/>
        <w:jc w:val="both"/>
        <w:rPr>
          <w:rFonts w:eastAsia="Times New Roman" w:cs="Times New Roman"/>
          <w:b/>
          <w:bCs/>
          <w:color w:val="000000" w:themeColor="text1"/>
          <w:szCs w:val="28"/>
          <w:lang w:val="vi-VN"/>
        </w:rPr>
      </w:pPr>
      <w:r w:rsidRPr="00B17393">
        <w:rPr>
          <w:rFonts w:eastAsia="Times New Roman" w:cs="Times New Roman"/>
          <w:b/>
          <w:bCs/>
          <w:color w:val="000000" w:themeColor="text1"/>
          <w:szCs w:val="28"/>
          <w:lang w:val="vi-VN"/>
        </w:rPr>
        <w:t xml:space="preserve">Điều </w:t>
      </w:r>
      <w:r w:rsidR="00AD4AE6" w:rsidRPr="00B17393">
        <w:rPr>
          <w:rFonts w:eastAsia="Times New Roman" w:cs="Times New Roman"/>
          <w:b/>
          <w:bCs/>
          <w:color w:val="000000" w:themeColor="text1"/>
          <w:szCs w:val="28"/>
        </w:rPr>
        <w:t>3</w:t>
      </w:r>
      <w:r w:rsidRPr="00B17393">
        <w:rPr>
          <w:rFonts w:eastAsia="Times New Roman" w:cs="Times New Roman"/>
          <w:b/>
          <w:bCs/>
          <w:color w:val="000000" w:themeColor="text1"/>
          <w:szCs w:val="28"/>
          <w:lang w:val="vi-VN"/>
        </w:rPr>
        <w:t>. Nguồn k</w:t>
      </w:r>
      <w:r w:rsidRPr="00B17393">
        <w:rPr>
          <w:rFonts w:eastAsia="Times New Roman" w:cs="Times New Roman"/>
          <w:b/>
          <w:bCs/>
          <w:color w:val="000000" w:themeColor="text1"/>
          <w:szCs w:val="28"/>
          <w:lang w:val="de-DE"/>
        </w:rPr>
        <w:t>i</w:t>
      </w:r>
      <w:r w:rsidRPr="00B17393">
        <w:rPr>
          <w:rFonts w:eastAsia="Times New Roman" w:cs="Times New Roman"/>
          <w:b/>
          <w:bCs/>
          <w:color w:val="000000" w:themeColor="text1"/>
          <w:szCs w:val="28"/>
          <w:lang w:val="vi-VN"/>
        </w:rPr>
        <w:t>nh ph</w:t>
      </w:r>
      <w:r w:rsidRPr="00B17393">
        <w:rPr>
          <w:rFonts w:eastAsia="Times New Roman" w:cs="Times New Roman"/>
          <w:b/>
          <w:bCs/>
          <w:color w:val="000000" w:themeColor="text1"/>
          <w:szCs w:val="28"/>
          <w:lang w:val="de-DE"/>
        </w:rPr>
        <w:t>í </w:t>
      </w:r>
      <w:r w:rsidR="007E5F36" w:rsidRPr="00B17393">
        <w:rPr>
          <w:rFonts w:eastAsia="Times New Roman" w:cs="Times New Roman"/>
          <w:b/>
          <w:bCs/>
          <w:color w:val="000000" w:themeColor="text1"/>
          <w:szCs w:val="28"/>
          <w:lang w:val="vi-VN"/>
        </w:rPr>
        <w:t>thực hiện</w:t>
      </w:r>
      <w:r w:rsidRPr="00B17393">
        <w:rPr>
          <w:rFonts w:eastAsia="Times New Roman" w:cs="Times New Roman"/>
          <w:b/>
          <w:bCs/>
          <w:color w:val="000000" w:themeColor="text1"/>
          <w:szCs w:val="28"/>
          <w:lang w:val="vi-VN"/>
        </w:rPr>
        <w:t xml:space="preserve"> </w:t>
      </w:r>
    </w:p>
    <w:p w:rsidR="008602B5" w:rsidRDefault="00B17393" w:rsidP="00D67C7E">
      <w:pPr>
        <w:spacing w:before="100" w:after="100" w:line="360" w:lineRule="exact"/>
        <w:ind w:firstLine="709"/>
        <w:jc w:val="both"/>
        <w:rPr>
          <w:rFonts w:cs="Times New Roman"/>
          <w:color w:val="000000" w:themeColor="text1"/>
          <w:szCs w:val="28"/>
          <w:lang w:val="de-DE"/>
        </w:rPr>
      </w:pPr>
      <w:r w:rsidRPr="00B17393">
        <w:rPr>
          <w:rFonts w:cs="Times New Roman"/>
          <w:color w:val="000000" w:themeColor="text1"/>
          <w:szCs w:val="28"/>
        </w:rPr>
        <w:t xml:space="preserve">Kinh phí để hỗ trợ đối </w:t>
      </w:r>
      <w:r w:rsidRPr="005E3D93">
        <w:rPr>
          <w:bCs/>
          <w:color w:val="000000" w:themeColor="text1"/>
          <w:szCs w:val="28"/>
          <w:lang w:val="vi-VN"/>
        </w:rPr>
        <w:t xml:space="preserve">với </w:t>
      </w:r>
      <w:r w:rsidRPr="005E3D93">
        <w:rPr>
          <w:bCs/>
          <w:color w:val="000000" w:themeColor="text1"/>
          <w:szCs w:val="28"/>
        </w:rPr>
        <w:t xml:space="preserve">cán bộ, </w:t>
      </w:r>
      <w:r w:rsidRPr="005E3D93">
        <w:rPr>
          <w:bCs/>
          <w:color w:val="000000" w:themeColor="text1"/>
          <w:szCs w:val="28"/>
          <w:lang w:val="vi-VN"/>
        </w:rPr>
        <w:t>công chức, viên chức</w:t>
      </w:r>
      <w:r>
        <w:rPr>
          <w:bCs/>
          <w:color w:val="000000" w:themeColor="text1"/>
          <w:szCs w:val="28"/>
        </w:rPr>
        <w:t xml:space="preserve"> có nguyện vọng</w:t>
      </w:r>
      <w:r w:rsidRPr="005E3D93">
        <w:rPr>
          <w:bCs/>
          <w:color w:val="000000" w:themeColor="text1"/>
          <w:szCs w:val="28"/>
          <w:lang w:val="vi-VN"/>
        </w:rPr>
        <w:t xml:space="preserve"> </w:t>
      </w:r>
      <w:r w:rsidRPr="005E3D93">
        <w:rPr>
          <w:bCs/>
          <w:color w:val="000000" w:themeColor="text1"/>
          <w:szCs w:val="28"/>
        </w:rPr>
        <w:t>nghỉ công tác do thực hiện sắp xếp tổ chức bộ máy</w:t>
      </w:r>
      <w:r>
        <w:rPr>
          <w:rFonts w:cs="Times New Roman"/>
          <w:color w:val="FF0000"/>
          <w:szCs w:val="28"/>
          <w:lang w:val="de-DE"/>
        </w:rPr>
        <w:t xml:space="preserve"> </w:t>
      </w:r>
      <w:r w:rsidRPr="00B17393">
        <w:rPr>
          <w:rFonts w:cs="Times New Roman"/>
          <w:color w:val="000000" w:themeColor="text1"/>
          <w:szCs w:val="28"/>
          <w:lang w:val="de-DE"/>
        </w:rPr>
        <w:t>quy định tại Nghị quyết này do ngân sách tỉnh chi trả</w:t>
      </w:r>
      <w:r w:rsidR="00F11D0A">
        <w:rPr>
          <w:rFonts w:cs="Times New Roman"/>
          <w:color w:val="000000" w:themeColor="text1"/>
          <w:szCs w:val="28"/>
          <w:lang w:val="de-DE"/>
        </w:rPr>
        <w:t>.</w:t>
      </w:r>
    </w:p>
    <w:p w:rsidR="00F11D0A" w:rsidRPr="00B17393" w:rsidRDefault="00F11D0A" w:rsidP="00D67C7E">
      <w:pPr>
        <w:spacing w:before="100" w:after="100" w:line="360" w:lineRule="exact"/>
        <w:ind w:firstLine="709"/>
        <w:jc w:val="both"/>
        <w:rPr>
          <w:rFonts w:cs="Times New Roman"/>
          <w:color w:val="000000" w:themeColor="text1"/>
          <w:szCs w:val="28"/>
          <w:lang w:val="de-DE"/>
        </w:rPr>
      </w:pPr>
      <w:r>
        <w:rPr>
          <w:rFonts w:cs="Times New Roman"/>
          <w:color w:val="000000" w:themeColor="text1"/>
          <w:szCs w:val="28"/>
          <w:lang w:val="de-DE"/>
        </w:rPr>
        <w:t xml:space="preserve">Đối với đơn vị sự nghiệp công lập tự đảm bảo chi thường xuyên, kinh phí </w:t>
      </w:r>
      <w:r w:rsidR="002D61D6">
        <w:rPr>
          <w:rFonts w:cs="Times New Roman"/>
          <w:color w:val="000000" w:themeColor="text1"/>
          <w:szCs w:val="28"/>
          <w:lang w:val="de-DE"/>
        </w:rPr>
        <w:t>thực hiện</w:t>
      </w:r>
      <w:r>
        <w:rPr>
          <w:rFonts w:cs="Times New Roman"/>
          <w:color w:val="000000" w:themeColor="text1"/>
          <w:szCs w:val="28"/>
          <w:lang w:val="de-DE"/>
        </w:rPr>
        <w:t xml:space="preserve"> từ nguồn tài chính của đơn vị</w:t>
      </w:r>
      <w:r w:rsidR="002D61D6">
        <w:rPr>
          <w:rFonts w:cs="Times New Roman"/>
          <w:color w:val="000000" w:themeColor="text1"/>
          <w:szCs w:val="28"/>
          <w:lang w:val="de-DE"/>
        </w:rPr>
        <w:t>.</w:t>
      </w:r>
    </w:p>
    <w:p w:rsidR="008E5063" w:rsidRPr="00F11D0A" w:rsidRDefault="008E5063" w:rsidP="00D67C7E">
      <w:pPr>
        <w:shd w:val="clear" w:color="auto" w:fill="FFFFFF"/>
        <w:spacing w:before="100" w:after="100" w:line="360" w:lineRule="exact"/>
        <w:ind w:firstLine="720"/>
        <w:jc w:val="both"/>
        <w:rPr>
          <w:rFonts w:eastAsia="Times New Roman" w:cs="Times New Roman"/>
          <w:color w:val="000000" w:themeColor="text1"/>
          <w:szCs w:val="28"/>
          <w:lang w:val="de-DE"/>
        </w:rPr>
      </w:pPr>
      <w:r w:rsidRPr="00F11D0A">
        <w:rPr>
          <w:rFonts w:eastAsia="Times New Roman" w:cs="Times New Roman"/>
          <w:b/>
          <w:bCs/>
          <w:color w:val="000000" w:themeColor="text1"/>
          <w:szCs w:val="28"/>
          <w:lang w:val="vi-VN"/>
        </w:rPr>
        <w:t xml:space="preserve">Điều </w:t>
      </w:r>
      <w:r w:rsidR="00AD4AE6" w:rsidRPr="00F11D0A">
        <w:rPr>
          <w:rFonts w:eastAsia="Times New Roman" w:cs="Times New Roman"/>
          <w:b/>
          <w:bCs/>
          <w:color w:val="000000" w:themeColor="text1"/>
          <w:szCs w:val="28"/>
        </w:rPr>
        <w:t>4</w:t>
      </w:r>
      <w:r w:rsidRPr="00F11D0A">
        <w:rPr>
          <w:rFonts w:eastAsia="Times New Roman" w:cs="Times New Roman"/>
          <w:b/>
          <w:bCs/>
          <w:color w:val="000000" w:themeColor="text1"/>
          <w:szCs w:val="28"/>
          <w:lang w:val="vi-VN"/>
        </w:rPr>
        <w:t>. Tổ chức thực hiện</w:t>
      </w:r>
    </w:p>
    <w:p w:rsidR="008E5063" w:rsidRPr="00F11D0A" w:rsidRDefault="008E5063" w:rsidP="00D67C7E">
      <w:pPr>
        <w:shd w:val="clear" w:color="auto" w:fill="FFFFFF"/>
        <w:spacing w:before="100" w:after="100" w:line="360" w:lineRule="exact"/>
        <w:ind w:firstLine="720"/>
        <w:jc w:val="both"/>
        <w:rPr>
          <w:rFonts w:eastAsia="Times New Roman" w:cs="Times New Roman"/>
          <w:color w:val="000000" w:themeColor="text1"/>
          <w:szCs w:val="28"/>
          <w:lang w:val="de-DE"/>
        </w:rPr>
      </w:pPr>
      <w:r w:rsidRPr="00F11D0A">
        <w:rPr>
          <w:rFonts w:eastAsia="Times New Roman" w:cs="Times New Roman"/>
          <w:color w:val="000000" w:themeColor="text1"/>
          <w:szCs w:val="28"/>
          <w:lang w:val="vi-VN"/>
        </w:rPr>
        <w:t>1. Giao Ủy ban nhân dân tỉnh tổ chức thực hiện Nghị quyết này.</w:t>
      </w:r>
    </w:p>
    <w:p w:rsidR="00910BD7" w:rsidRPr="00F11D0A" w:rsidRDefault="008E5063" w:rsidP="00D67C7E">
      <w:pPr>
        <w:shd w:val="clear" w:color="auto" w:fill="FFFFFF"/>
        <w:spacing w:before="100" w:after="100" w:line="360" w:lineRule="exact"/>
        <w:ind w:firstLine="720"/>
        <w:jc w:val="both"/>
        <w:rPr>
          <w:rFonts w:eastAsia="Times New Roman" w:cs="Times New Roman"/>
          <w:color w:val="000000" w:themeColor="text1"/>
          <w:spacing w:val="-6"/>
          <w:szCs w:val="28"/>
          <w:lang w:val="vi-VN"/>
        </w:rPr>
      </w:pPr>
      <w:r w:rsidRPr="00F11D0A">
        <w:rPr>
          <w:rFonts w:eastAsia="Times New Roman" w:cs="Times New Roman"/>
          <w:color w:val="000000" w:themeColor="text1"/>
          <w:szCs w:val="28"/>
          <w:lang w:val="vi-VN"/>
        </w:rPr>
        <w:t xml:space="preserve">2. Thường trực Hội đồng nhân dân tỉnh, các Ban của Hội đồng nhân dân </w:t>
      </w:r>
      <w:r w:rsidRPr="00F11D0A">
        <w:rPr>
          <w:rFonts w:eastAsia="Times New Roman" w:cs="Times New Roman"/>
          <w:color w:val="000000" w:themeColor="text1"/>
          <w:spacing w:val="-6"/>
          <w:szCs w:val="28"/>
          <w:lang w:val="vi-VN"/>
        </w:rPr>
        <w:t xml:space="preserve">tỉnh, </w:t>
      </w:r>
      <w:r w:rsidR="004550E4" w:rsidRPr="00F11D0A">
        <w:rPr>
          <w:rFonts w:eastAsia="Times New Roman" w:cs="Times New Roman"/>
          <w:color w:val="000000" w:themeColor="text1"/>
          <w:szCs w:val="28"/>
        </w:rPr>
        <w:t xml:space="preserve">các Tổ đại biểu Hội đồng nhân dân tỉnh, </w:t>
      </w:r>
      <w:r w:rsidRPr="00F11D0A">
        <w:rPr>
          <w:rFonts w:eastAsia="Times New Roman" w:cs="Times New Roman"/>
          <w:color w:val="000000" w:themeColor="text1"/>
          <w:spacing w:val="-6"/>
          <w:szCs w:val="28"/>
          <w:lang w:val="vi-VN"/>
        </w:rPr>
        <w:t>các đại biểu Hội đồng nhân dân tỉnh giám sát việc thực hiện Nghị quyết này.</w:t>
      </w:r>
    </w:p>
    <w:p w:rsidR="008E5063" w:rsidRPr="00F11D0A" w:rsidRDefault="006442D6" w:rsidP="00D67C7E">
      <w:pPr>
        <w:tabs>
          <w:tab w:val="left" w:pos="709"/>
        </w:tabs>
        <w:spacing w:before="100" w:after="100" w:line="360" w:lineRule="exact"/>
        <w:jc w:val="both"/>
        <w:rPr>
          <w:rFonts w:cs="Times New Roman"/>
          <w:color w:val="000000" w:themeColor="text1"/>
          <w:szCs w:val="28"/>
          <w:lang w:val="de-DE"/>
        </w:rPr>
      </w:pPr>
      <w:r w:rsidRPr="00F11D0A">
        <w:rPr>
          <w:rFonts w:eastAsia="Times New Roman" w:cs="Times New Roman"/>
          <w:color w:val="000000" w:themeColor="text1"/>
          <w:szCs w:val="28"/>
          <w:lang w:val="de-DE"/>
        </w:rPr>
        <w:tab/>
      </w:r>
      <w:r w:rsidR="00F11D0A" w:rsidRPr="00F11D0A">
        <w:rPr>
          <w:rFonts w:eastAsia="Times New Roman" w:cs="Times New Roman"/>
          <w:color w:val="000000" w:themeColor="text1"/>
          <w:szCs w:val="28"/>
        </w:rPr>
        <w:t>3</w:t>
      </w:r>
      <w:r w:rsidR="008E5063" w:rsidRPr="00F11D0A">
        <w:rPr>
          <w:rFonts w:eastAsia="Times New Roman" w:cs="Times New Roman"/>
          <w:color w:val="000000" w:themeColor="text1"/>
          <w:szCs w:val="28"/>
          <w:lang w:val="vi-VN"/>
        </w:rPr>
        <w:t>. Nghị quyết này đã được Hội đồng nhân dân tỉnh Hà Nam khóa X</w:t>
      </w:r>
      <w:r w:rsidR="00D0634B" w:rsidRPr="00F11D0A">
        <w:rPr>
          <w:rFonts w:eastAsia="Times New Roman" w:cs="Times New Roman"/>
          <w:color w:val="000000" w:themeColor="text1"/>
          <w:szCs w:val="28"/>
        </w:rPr>
        <w:t>IX</w:t>
      </w:r>
      <w:r w:rsidR="008E5063" w:rsidRPr="00F11D0A">
        <w:rPr>
          <w:rFonts w:eastAsia="Times New Roman" w:cs="Times New Roman"/>
          <w:color w:val="000000" w:themeColor="text1"/>
          <w:szCs w:val="28"/>
          <w:lang w:val="vi-VN"/>
        </w:rPr>
        <w:t xml:space="preserve">, kỳ họp thứ </w:t>
      </w:r>
      <w:r w:rsidR="00F11D0A" w:rsidRPr="00F11D0A">
        <w:rPr>
          <w:rFonts w:eastAsia="Times New Roman" w:cs="Times New Roman"/>
          <w:color w:val="000000" w:themeColor="text1"/>
          <w:szCs w:val="28"/>
        </w:rPr>
        <w:t>…….</w:t>
      </w:r>
      <w:r w:rsidR="00CF1A48" w:rsidRPr="00F11D0A">
        <w:rPr>
          <w:rFonts w:eastAsia="Times New Roman" w:cs="Times New Roman"/>
          <w:color w:val="000000" w:themeColor="text1"/>
          <w:szCs w:val="28"/>
        </w:rPr>
        <w:t xml:space="preserve"> (</w:t>
      </w:r>
      <w:r w:rsidR="00CF1A48" w:rsidRPr="00F11D0A">
        <w:rPr>
          <w:rFonts w:eastAsia="Times New Roman" w:cs="Times New Roman"/>
          <w:i/>
          <w:color w:val="000000" w:themeColor="text1"/>
          <w:szCs w:val="28"/>
        </w:rPr>
        <w:t>kỳ họp chuyên đề</w:t>
      </w:r>
      <w:r w:rsidR="00CF1A48" w:rsidRPr="00F11D0A">
        <w:rPr>
          <w:rFonts w:eastAsia="Times New Roman" w:cs="Times New Roman"/>
          <w:color w:val="000000" w:themeColor="text1"/>
          <w:szCs w:val="28"/>
        </w:rPr>
        <w:t>)</w:t>
      </w:r>
      <w:r w:rsidR="00180CA5" w:rsidRPr="00F11D0A">
        <w:rPr>
          <w:rFonts w:eastAsia="Times New Roman" w:cs="Times New Roman"/>
          <w:color w:val="000000" w:themeColor="text1"/>
          <w:szCs w:val="28"/>
          <w:lang w:val="vi-VN"/>
        </w:rPr>
        <w:t xml:space="preserve"> </w:t>
      </w:r>
      <w:r w:rsidR="008E5063" w:rsidRPr="00F11D0A">
        <w:rPr>
          <w:rFonts w:eastAsia="Times New Roman" w:cs="Times New Roman"/>
          <w:color w:val="000000" w:themeColor="text1"/>
          <w:szCs w:val="28"/>
          <w:lang w:val="vi-VN"/>
        </w:rPr>
        <w:t xml:space="preserve">thông qua ngày </w:t>
      </w:r>
      <w:r w:rsidR="00F11D0A" w:rsidRPr="00F11D0A">
        <w:rPr>
          <w:rFonts w:eastAsia="Times New Roman" w:cs="Times New Roman"/>
          <w:color w:val="000000" w:themeColor="text1"/>
          <w:szCs w:val="28"/>
        </w:rPr>
        <w:t>……</w:t>
      </w:r>
      <w:r w:rsidR="00CF1A48" w:rsidRPr="00F11D0A">
        <w:rPr>
          <w:rFonts w:eastAsia="Times New Roman" w:cs="Times New Roman"/>
          <w:color w:val="000000" w:themeColor="text1"/>
          <w:szCs w:val="28"/>
          <w:lang w:val="vi-VN"/>
        </w:rPr>
        <w:t xml:space="preserve"> tháng </w:t>
      </w:r>
      <w:r w:rsidR="008917E9">
        <w:rPr>
          <w:rFonts w:eastAsia="Times New Roman" w:cs="Times New Roman"/>
          <w:color w:val="000000" w:themeColor="text1"/>
          <w:szCs w:val="28"/>
        </w:rPr>
        <w:t>3</w:t>
      </w:r>
      <w:r w:rsidR="00D55E35" w:rsidRPr="00F11D0A">
        <w:rPr>
          <w:rFonts w:eastAsia="Times New Roman" w:cs="Times New Roman"/>
          <w:color w:val="000000" w:themeColor="text1"/>
          <w:szCs w:val="28"/>
          <w:lang w:val="vi-VN"/>
        </w:rPr>
        <w:t xml:space="preserve"> </w:t>
      </w:r>
      <w:r w:rsidR="008E5063" w:rsidRPr="00F11D0A">
        <w:rPr>
          <w:rFonts w:eastAsia="Times New Roman" w:cs="Times New Roman"/>
          <w:color w:val="000000" w:themeColor="text1"/>
          <w:szCs w:val="28"/>
          <w:lang w:val="vi-VN"/>
        </w:rPr>
        <w:t>năm 202</w:t>
      </w:r>
      <w:r w:rsidR="00F11D0A" w:rsidRPr="00F11D0A">
        <w:rPr>
          <w:rFonts w:eastAsia="Times New Roman" w:cs="Times New Roman"/>
          <w:color w:val="000000" w:themeColor="text1"/>
          <w:szCs w:val="28"/>
        </w:rPr>
        <w:t>5</w:t>
      </w:r>
      <w:r w:rsidR="008602B5" w:rsidRPr="00F11D0A">
        <w:rPr>
          <w:rFonts w:eastAsia="Times New Roman" w:cs="Times New Roman"/>
          <w:color w:val="000000" w:themeColor="text1"/>
          <w:szCs w:val="28"/>
          <w:lang w:val="de-DE"/>
        </w:rPr>
        <w:t xml:space="preserve">, </w:t>
      </w:r>
      <w:r w:rsidR="007E5F36" w:rsidRPr="00F11D0A">
        <w:rPr>
          <w:rFonts w:eastAsia="Times New Roman" w:cs="Times New Roman"/>
          <w:color w:val="000000" w:themeColor="text1"/>
          <w:szCs w:val="28"/>
          <w:lang w:val="vi-VN"/>
        </w:rPr>
        <w:t>và có hiệu lực kể từ</w:t>
      </w:r>
      <w:r w:rsidR="000C2494" w:rsidRPr="00F11D0A">
        <w:rPr>
          <w:rFonts w:cs="Times New Roman"/>
          <w:color w:val="000000" w:themeColor="text1"/>
          <w:szCs w:val="28"/>
          <w:lang w:val="de-DE"/>
        </w:rPr>
        <w:t xml:space="preserve"> ngày 01</w:t>
      </w:r>
      <w:r w:rsidR="008602B5" w:rsidRPr="00F11D0A">
        <w:rPr>
          <w:rFonts w:cs="Times New Roman"/>
          <w:color w:val="000000" w:themeColor="text1"/>
          <w:szCs w:val="28"/>
          <w:lang w:val="de-DE"/>
        </w:rPr>
        <w:t>/</w:t>
      </w:r>
      <w:r w:rsidR="00F11D0A" w:rsidRPr="00F11D0A">
        <w:rPr>
          <w:rFonts w:cs="Times New Roman"/>
          <w:color w:val="000000" w:themeColor="text1"/>
          <w:szCs w:val="28"/>
          <w:lang w:val="de-DE"/>
        </w:rPr>
        <w:t>4</w:t>
      </w:r>
      <w:r w:rsidR="000C2494" w:rsidRPr="00F11D0A">
        <w:rPr>
          <w:rFonts w:cs="Times New Roman"/>
          <w:color w:val="000000" w:themeColor="text1"/>
          <w:szCs w:val="28"/>
          <w:lang w:val="de-DE"/>
        </w:rPr>
        <w:t>/2025</w:t>
      </w:r>
      <w:r w:rsidR="00900B33" w:rsidRPr="00F11D0A">
        <w:rPr>
          <w:rFonts w:eastAsia="Times New Roman" w:cs="Times New Roman"/>
          <w:color w:val="000000" w:themeColor="text1"/>
          <w:szCs w:val="28"/>
          <w:lang w:val="vi-VN"/>
        </w:rPr>
        <w:t>./.</w:t>
      </w:r>
    </w:p>
    <w:p w:rsidR="007B6E8E" w:rsidRPr="00F609C4" w:rsidRDefault="007B6E8E" w:rsidP="000248EB">
      <w:pPr>
        <w:shd w:val="clear" w:color="auto" w:fill="FFFFFF"/>
        <w:spacing w:after="0" w:line="240" w:lineRule="auto"/>
        <w:ind w:firstLine="720"/>
        <w:jc w:val="both"/>
        <w:rPr>
          <w:rFonts w:eastAsia="Times New Roman" w:cs="Times New Roman"/>
          <w:color w:val="FF0000"/>
          <w:szCs w:val="28"/>
          <w:lang w:val="de-DE"/>
        </w:rPr>
      </w:pPr>
    </w:p>
    <w:tbl>
      <w:tblPr>
        <w:tblW w:w="9021" w:type="dxa"/>
        <w:tblCellSpacing w:w="0" w:type="dxa"/>
        <w:shd w:val="clear" w:color="auto" w:fill="FFFFFF"/>
        <w:tblCellMar>
          <w:left w:w="0" w:type="dxa"/>
          <w:right w:w="0" w:type="dxa"/>
        </w:tblCellMar>
        <w:tblLook w:val="04A0" w:firstRow="1" w:lastRow="0" w:firstColumn="1" w:lastColumn="0" w:noHBand="0" w:noVBand="1"/>
      </w:tblPr>
      <w:tblGrid>
        <w:gridCol w:w="5044"/>
        <w:gridCol w:w="3977"/>
      </w:tblGrid>
      <w:tr w:rsidR="00D67C7E" w:rsidRPr="00D67C7E" w:rsidTr="007B6E8E">
        <w:trPr>
          <w:tblCellSpacing w:w="0" w:type="dxa"/>
        </w:trPr>
        <w:tc>
          <w:tcPr>
            <w:tcW w:w="5044" w:type="dxa"/>
            <w:shd w:val="clear" w:color="auto" w:fill="FFFFFF"/>
          </w:tcPr>
          <w:p w:rsidR="004550E4" w:rsidRPr="00D67C7E" w:rsidRDefault="007B6E8E" w:rsidP="004550E4">
            <w:pPr>
              <w:spacing w:after="0" w:line="240" w:lineRule="auto"/>
              <w:rPr>
                <w:rFonts w:eastAsia="Times New Roman" w:cs="Times New Roman"/>
                <w:sz w:val="22"/>
              </w:rPr>
            </w:pPr>
            <w:r w:rsidRPr="00D67C7E">
              <w:rPr>
                <w:rFonts w:eastAsia="Times New Roman" w:cs="Times New Roman"/>
                <w:sz w:val="18"/>
                <w:szCs w:val="18"/>
                <w:lang w:val="de-DE"/>
              </w:rPr>
              <w:t> </w:t>
            </w:r>
            <w:r w:rsidRPr="00D67C7E">
              <w:rPr>
                <w:rFonts w:eastAsia="Times New Roman" w:cs="Times New Roman"/>
                <w:b/>
                <w:bCs/>
                <w:i/>
                <w:iCs/>
                <w:sz w:val="24"/>
                <w:szCs w:val="24"/>
                <w:lang w:val="vi-VN"/>
              </w:rPr>
              <w:t>Nơi nhận:</w:t>
            </w:r>
            <w:r w:rsidRPr="00D67C7E">
              <w:rPr>
                <w:rFonts w:eastAsia="Times New Roman" w:cs="Times New Roman"/>
                <w:b/>
                <w:bCs/>
                <w:i/>
                <w:iCs/>
                <w:sz w:val="18"/>
                <w:szCs w:val="18"/>
                <w:lang w:val="vi-VN"/>
              </w:rPr>
              <w:br/>
            </w:r>
            <w:r w:rsidR="004550E4" w:rsidRPr="00D67C7E">
              <w:rPr>
                <w:rFonts w:eastAsia="Times New Roman" w:cs="Times New Roman"/>
                <w:sz w:val="22"/>
                <w:lang w:val="vi-VN"/>
              </w:rPr>
              <w:t xml:space="preserve">- </w:t>
            </w:r>
            <w:r w:rsidR="004550E4" w:rsidRPr="00D67C7E">
              <w:rPr>
                <w:rFonts w:eastAsia="Times New Roman" w:cs="Times New Roman"/>
                <w:sz w:val="22"/>
              </w:rPr>
              <w:t>UBTV Quốc hội;</w:t>
            </w:r>
          </w:p>
          <w:p w:rsidR="004550E4" w:rsidRPr="00D67C7E" w:rsidRDefault="004550E4" w:rsidP="004550E4">
            <w:pPr>
              <w:spacing w:after="0" w:line="240" w:lineRule="auto"/>
              <w:rPr>
                <w:rFonts w:eastAsia="Times New Roman" w:cs="Times New Roman"/>
                <w:sz w:val="22"/>
              </w:rPr>
            </w:pPr>
            <w:r w:rsidRPr="00D67C7E">
              <w:rPr>
                <w:rFonts w:eastAsia="Times New Roman" w:cs="Times New Roman"/>
                <w:sz w:val="22"/>
              </w:rPr>
              <w:t xml:space="preserve">- </w:t>
            </w:r>
            <w:r w:rsidRPr="00D67C7E">
              <w:rPr>
                <w:rFonts w:eastAsia="Times New Roman" w:cs="Times New Roman"/>
                <w:sz w:val="22"/>
                <w:lang w:val="vi-VN"/>
              </w:rPr>
              <w:t>Chính phủ;</w:t>
            </w:r>
            <w:r w:rsidRPr="00D67C7E">
              <w:rPr>
                <w:rFonts w:eastAsia="Times New Roman" w:cs="Times New Roman"/>
                <w:sz w:val="22"/>
                <w:lang w:val="vi-VN"/>
              </w:rPr>
              <w:br/>
              <w:t>-</w:t>
            </w:r>
            <w:r w:rsidRPr="00D67C7E">
              <w:rPr>
                <w:rFonts w:eastAsia="Times New Roman" w:cs="Times New Roman"/>
                <w:sz w:val="22"/>
              </w:rPr>
              <w:t xml:space="preserve"> Các</w:t>
            </w:r>
            <w:r w:rsidRPr="00D67C7E">
              <w:rPr>
                <w:rFonts w:eastAsia="Times New Roman" w:cs="Times New Roman"/>
                <w:sz w:val="22"/>
                <w:lang w:val="vi-VN"/>
              </w:rPr>
              <w:t xml:space="preserve"> Bộ</w:t>
            </w:r>
            <w:r w:rsidRPr="00D67C7E">
              <w:rPr>
                <w:rFonts w:eastAsia="Times New Roman" w:cs="Times New Roman"/>
                <w:sz w:val="22"/>
              </w:rPr>
              <w:t>:</w:t>
            </w:r>
            <w:r w:rsidRPr="00D67C7E">
              <w:rPr>
                <w:rFonts w:eastAsia="Times New Roman" w:cs="Times New Roman"/>
                <w:sz w:val="22"/>
                <w:lang w:val="vi-VN"/>
              </w:rPr>
              <w:t xml:space="preserve"> Tài chính, Nội vụ</w:t>
            </w:r>
            <w:r w:rsidRPr="00D67C7E">
              <w:rPr>
                <w:rFonts w:eastAsia="Times New Roman" w:cs="Times New Roman"/>
                <w:sz w:val="22"/>
              </w:rPr>
              <w:t>, LĐTBXH</w:t>
            </w:r>
            <w:r w:rsidRPr="00D67C7E">
              <w:rPr>
                <w:rFonts w:eastAsia="Times New Roman" w:cs="Times New Roman"/>
                <w:sz w:val="22"/>
                <w:lang w:val="vi-VN"/>
              </w:rPr>
              <w:t>;</w:t>
            </w:r>
            <w:r w:rsidRPr="00D67C7E">
              <w:rPr>
                <w:rFonts w:eastAsia="Times New Roman" w:cs="Times New Roman"/>
                <w:sz w:val="22"/>
                <w:lang w:val="vi-VN"/>
              </w:rPr>
              <w:br/>
              <w:t>- Cục Kiểm tra VBQPPL- Bộ Tư Pháp;</w:t>
            </w:r>
          </w:p>
          <w:p w:rsidR="004550E4" w:rsidRPr="00D67C7E" w:rsidRDefault="004550E4" w:rsidP="004550E4">
            <w:pPr>
              <w:spacing w:after="0" w:line="240" w:lineRule="auto"/>
              <w:rPr>
                <w:rFonts w:eastAsia="Times New Roman" w:cs="Times New Roman"/>
                <w:sz w:val="22"/>
              </w:rPr>
            </w:pPr>
            <w:r w:rsidRPr="00D67C7E">
              <w:rPr>
                <w:rFonts w:eastAsia="Times New Roman" w:cs="Times New Roman"/>
                <w:sz w:val="22"/>
              </w:rPr>
              <w:t>- Vụ Pháp chế - Bộ Nội vụ;</w:t>
            </w:r>
            <w:r w:rsidRPr="00D67C7E">
              <w:rPr>
                <w:rFonts w:eastAsia="Times New Roman" w:cs="Times New Roman"/>
                <w:sz w:val="22"/>
                <w:lang w:val="vi-VN"/>
              </w:rPr>
              <w:br/>
              <w:t xml:space="preserve">- </w:t>
            </w:r>
            <w:r w:rsidRPr="00D67C7E">
              <w:rPr>
                <w:rFonts w:eastAsia="Times New Roman" w:cs="Times New Roman"/>
                <w:sz w:val="22"/>
              </w:rPr>
              <w:t>TT</w:t>
            </w:r>
            <w:r w:rsidRPr="00D67C7E">
              <w:rPr>
                <w:rFonts w:eastAsia="Times New Roman" w:cs="Times New Roman"/>
                <w:sz w:val="22"/>
                <w:lang w:val="vi-VN"/>
              </w:rPr>
              <w:t xml:space="preserve"> Tỉnh ủy;</w:t>
            </w:r>
          </w:p>
          <w:p w:rsidR="007B6E8E" w:rsidRPr="00D67C7E" w:rsidRDefault="004550E4" w:rsidP="004550E4">
            <w:pPr>
              <w:spacing w:after="0" w:line="240" w:lineRule="auto"/>
              <w:rPr>
                <w:rFonts w:eastAsia="Times New Roman" w:cs="Times New Roman"/>
                <w:sz w:val="18"/>
                <w:szCs w:val="18"/>
                <w:lang w:val="de-DE"/>
              </w:rPr>
            </w:pPr>
            <w:r w:rsidRPr="00D67C7E">
              <w:rPr>
                <w:rFonts w:eastAsia="Times New Roman" w:cs="Times New Roman"/>
                <w:sz w:val="22"/>
              </w:rPr>
              <w:t>- TT HĐND tỉnh;</w:t>
            </w:r>
            <w:r w:rsidRPr="00D67C7E">
              <w:rPr>
                <w:rFonts w:eastAsia="Times New Roman" w:cs="Times New Roman"/>
                <w:sz w:val="22"/>
                <w:lang w:val="vi-VN"/>
              </w:rPr>
              <w:br/>
              <w:t xml:space="preserve">- </w:t>
            </w:r>
            <w:r w:rsidRPr="00D67C7E">
              <w:rPr>
                <w:rFonts w:eastAsia="Times New Roman" w:cs="Times New Roman"/>
                <w:sz w:val="22"/>
              </w:rPr>
              <w:t>Đoàn ĐBQH</w:t>
            </w:r>
            <w:r w:rsidRPr="00D67C7E">
              <w:rPr>
                <w:rFonts w:eastAsia="Times New Roman" w:cs="Times New Roman"/>
                <w:sz w:val="22"/>
                <w:lang w:val="vi-VN"/>
              </w:rPr>
              <w:t xml:space="preserve"> t</w:t>
            </w:r>
            <w:r w:rsidRPr="00D67C7E">
              <w:rPr>
                <w:rFonts w:eastAsia="Times New Roman" w:cs="Times New Roman"/>
                <w:sz w:val="22"/>
                <w:lang w:val="de-DE"/>
              </w:rPr>
              <w:t>ỉ</w:t>
            </w:r>
            <w:r w:rsidRPr="00D67C7E">
              <w:rPr>
                <w:rFonts w:eastAsia="Times New Roman" w:cs="Times New Roman"/>
                <w:sz w:val="22"/>
                <w:lang w:val="vi-VN"/>
              </w:rPr>
              <w:t>nh;</w:t>
            </w:r>
            <w:r w:rsidRPr="00D67C7E">
              <w:rPr>
                <w:rFonts w:eastAsia="Times New Roman" w:cs="Times New Roman"/>
                <w:sz w:val="22"/>
                <w:lang w:val="vi-VN"/>
              </w:rPr>
              <w:br/>
              <w:t>- UBND</w:t>
            </w:r>
            <w:r w:rsidRPr="00D67C7E">
              <w:rPr>
                <w:rFonts w:eastAsia="Times New Roman" w:cs="Times New Roman"/>
                <w:sz w:val="22"/>
              </w:rPr>
              <w:t xml:space="preserve"> tỉnh,</w:t>
            </w:r>
            <w:r w:rsidRPr="00D67C7E">
              <w:rPr>
                <w:rFonts w:eastAsia="Times New Roman" w:cs="Times New Roman"/>
                <w:sz w:val="22"/>
                <w:lang w:val="vi-VN"/>
              </w:rPr>
              <w:t xml:space="preserve"> UBMTTQVN tỉnh;</w:t>
            </w:r>
            <w:r w:rsidRPr="00D67C7E">
              <w:rPr>
                <w:rFonts w:eastAsia="Times New Roman" w:cs="Times New Roman"/>
                <w:sz w:val="22"/>
                <w:lang w:val="vi-VN"/>
              </w:rPr>
              <w:br/>
              <w:t>- Các Ban</w:t>
            </w:r>
            <w:r w:rsidRPr="00D67C7E">
              <w:rPr>
                <w:rFonts w:eastAsia="Times New Roman" w:cs="Times New Roman"/>
                <w:sz w:val="22"/>
              </w:rPr>
              <w:t>, các Tổ ĐB, ĐB</w:t>
            </w:r>
            <w:r w:rsidRPr="00D67C7E">
              <w:rPr>
                <w:rFonts w:eastAsia="Times New Roman" w:cs="Times New Roman"/>
                <w:sz w:val="22"/>
                <w:lang w:val="vi-VN"/>
              </w:rPr>
              <w:t xml:space="preserve"> HĐND t</w:t>
            </w:r>
            <w:r w:rsidRPr="00D67C7E">
              <w:rPr>
                <w:rFonts w:eastAsia="Times New Roman" w:cs="Times New Roman"/>
                <w:sz w:val="22"/>
                <w:lang w:val="de-DE"/>
              </w:rPr>
              <w:t>ỉ</w:t>
            </w:r>
            <w:r w:rsidRPr="00D67C7E">
              <w:rPr>
                <w:rFonts w:eastAsia="Times New Roman" w:cs="Times New Roman"/>
                <w:sz w:val="22"/>
                <w:lang w:val="vi-VN"/>
              </w:rPr>
              <w:t>nh;</w:t>
            </w:r>
            <w:r w:rsidRPr="00D67C7E">
              <w:rPr>
                <w:rFonts w:eastAsia="Times New Roman" w:cs="Times New Roman"/>
                <w:sz w:val="22"/>
                <w:lang w:val="vi-VN"/>
              </w:rPr>
              <w:br/>
              <w:t>- Các sở</w:t>
            </w:r>
            <w:r w:rsidRPr="00D67C7E">
              <w:rPr>
                <w:rFonts w:eastAsia="Times New Roman" w:cs="Times New Roman"/>
                <w:sz w:val="22"/>
              </w:rPr>
              <w:t>: Nội vụ, Tài chính, Tư pháp</w:t>
            </w:r>
            <w:r w:rsidRPr="00D67C7E">
              <w:rPr>
                <w:rFonts w:eastAsia="Times New Roman" w:cs="Times New Roman"/>
                <w:sz w:val="22"/>
                <w:lang w:val="vi-VN"/>
              </w:rPr>
              <w:t>;</w:t>
            </w:r>
            <w:r w:rsidRPr="00D67C7E">
              <w:rPr>
                <w:rFonts w:eastAsia="Times New Roman" w:cs="Times New Roman"/>
                <w:sz w:val="22"/>
                <w:lang w:val="vi-VN"/>
              </w:rPr>
              <w:br/>
            </w:r>
            <w:r w:rsidRPr="00D67C7E">
              <w:rPr>
                <w:rFonts w:eastAsia="Times New Roman" w:cs="Times New Roman"/>
                <w:spacing w:val="-4"/>
                <w:sz w:val="22"/>
                <w:lang w:val="vi-VN"/>
              </w:rPr>
              <w:t>- TTHĐND, UBND</w:t>
            </w:r>
            <w:r w:rsidRPr="00D67C7E">
              <w:rPr>
                <w:rFonts w:eastAsia="Times New Roman" w:cs="Times New Roman"/>
                <w:spacing w:val="-4"/>
                <w:sz w:val="22"/>
              </w:rPr>
              <w:t xml:space="preserve"> </w:t>
            </w:r>
            <w:r w:rsidRPr="00D67C7E">
              <w:rPr>
                <w:rFonts w:eastAsia="Times New Roman" w:cs="Times New Roman"/>
                <w:spacing w:val="-4"/>
                <w:sz w:val="22"/>
                <w:lang w:val="vi-VN"/>
              </w:rPr>
              <w:t>các huyện,</w:t>
            </w:r>
            <w:r w:rsidRPr="00D67C7E">
              <w:rPr>
                <w:rFonts w:eastAsia="Times New Roman" w:cs="Times New Roman"/>
                <w:spacing w:val="-4"/>
                <w:sz w:val="22"/>
              </w:rPr>
              <w:t xml:space="preserve"> </w:t>
            </w:r>
            <w:r w:rsidRPr="00D67C7E">
              <w:rPr>
                <w:rFonts w:eastAsia="Times New Roman" w:cs="Times New Roman"/>
                <w:spacing w:val="-4"/>
                <w:sz w:val="22"/>
                <w:lang w:val="vi-VN"/>
              </w:rPr>
              <w:t>TX</w:t>
            </w:r>
            <w:r w:rsidRPr="00D67C7E">
              <w:rPr>
                <w:rFonts w:eastAsia="Times New Roman" w:cs="Times New Roman"/>
                <w:spacing w:val="-4"/>
                <w:sz w:val="22"/>
              </w:rPr>
              <w:t>, TP</w:t>
            </w:r>
            <w:r w:rsidRPr="00D67C7E">
              <w:rPr>
                <w:rFonts w:eastAsia="Times New Roman" w:cs="Times New Roman"/>
                <w:spacing w:val="-4"/>
                <w:sz w:val="22"/>
                <w:lang w:val="vi-VN"/>
              </w:rPr>
              <w:t>;</w:t>
            </w:r>
            <w:r w:rsidRPr="00D67C7E">
              <w:rPr>
                <w:rFonts w:eastAsia="Times New Roman" w:cs="Times New Roman"/>
                <w:sz w:val="22"/>
                <w:lang w:val="vi-VN"/>
              </w:rPr>
              <w:br/>
              <w:t>- Công báo tỉnh;</w:t>
            </w:r>
            <w:r w:rsidRPr="00D67C7E">
              <w:rPr>
                <w:rFonts w:eastAsia="Times New Roman" w:cs="Times New Roman"/>
                <w:sz w:val="22"/>
                <w:lang w:val="vi-VN"/>
              </w:rPr>
              <w:br/>
              <w:t>- Lưu: VT.</w:t>
            </w:r>
          </w:p>
        </w:tc>
        <w:tc>
          <w:tcPr>
            <w:tcW w:w="3977" w:type="dxa"/>
            <w:shd w:val="clear" w:color="auto" w:fill="FFFFFF"/>
            <w:tcMar>
              <w:top w:w="0" w:type="dxa"/>
              <w:left w:w="108" w:type="dxa"/>
              <w:bottom w:w="0" w:type="dxa"/>
              <w:right w:w="108" w:type="dxa"/>
            </w:tcMar>
            <w:hideMark/>
          </w:tcPr>
          <w:p w:rsidR="007B6E8E" w:rsidRPr="00D67C7E" w:rsidRDefault="007B6E8E" w:rsidP="007B6E8E">
            <w:pPr>
              <w:spacing w:before="120" w:after="120" w:line="234" w:lineRule="atLeast"/>
              <w:jc w:val="center"/>
              <w:rPr>
                <w:rFonts w:eastAsia="Times New Roman" w:cs="Times New Roman"/>
                <w:b/>
                <w:bCs/>
                <w:szCs w:val="28"/>
                <w:lang w:val="de-DE"/>
              </w:rPr>
            </w:pPr>
          </w:p>
          <w:p w:rsidR="007B6E8E" w:rsidRPr="00D67C7E" w:rsidRDefault="00A10DA8" w:rsidP="007B6E8E">
            <w:pPr>
              <w:spacing w:before="120" w:after="120" w:line="234" w:lineRule="atLeast"/>
              <w:jc w:val="center"/>
              <w:rPr>
                <w:rFonts w:eastAsia="Times New Roman" w:cs="Times New Roman"/>
                <w:szCs w:val="28"/>
              </w:rPr>
            </w:pPr>
            <w:r>
              <w:rPr>
                <w:rFonts w:eastAsia="Times New Roman" w:cs="Times New Roman"/>
                <w:b/>
                <w:bCs/>
                <w:szCs w:val="28"/>
              </w:rPr>
              <w:t>CHỦ TỊCH</w:t>
            </w:r>
            <w:r>
              <w:rPr>
                <w:rFonts w:eastAsia="Times New Roman" w:cs="Times New Roman"/>
                <w:b/>
                <w:bCs/>
                <w:szCs w:val="28"/>
              </w:rPr>
              <w:br/>
            </w:r>
            <w:r w:rsidR="007B6E8E" w:rsidRPr="00D67C7E">
              <w:rPr>
                <w:rFonts w:eastAsia="Times New Roman" w:cs="Times New Roman"/>
                <w:b/>
                <w:bCs/>
                <w:szCs w:val="28"/>
              </w:rPr>
              <w:br/>
            </w:r>
            <w:r w:rsidR="007B6E8E" w:rsidRPr="00D67C7E">
              <w:rPr>
                <w:rFonts w:eastAsia="Times New Roman" w:cs="Times New Roman"/>
                <w:b/>
                <w:bCs/>
                <w:szCs w:val="28"/>
              </w:rPr>
              <w:br/>
            </w:r>
          </w:p>
          <w:p w:rsidR="007B6E8E" w:rsidRPr="00D67C7E" w:rsidRDefault="007B6E8E" w:rsidP="007B6E8E">
            <w:pPr>
              <w:spacing w:before="120" w:after="120" w:line="234" w:lineRule="atLeast"/>
              <w:jc w:val="center"/>
              <w:rPr>
                <w:rFonts w:eastAsia="Times New Roman" w:cs="Times New Roman"/>
                <w:szCs w:val="28"/>
              </w:rPr>
            </w:pPr>
          </w:p>
          <w:p w:rsidR="007B6E8E" w:rsidRPr="00D67C7E" w:rsidRDefault="00064FEF" w:rsidP="002765D8">
            <w:pPr>
              <w:spacing w:before="120" w:after="120" w:line="234" w:lineRule="atLeast"/>
              <w:rPr>
                <w:rFonts w:eastAsia="Times New Roman" w:cs="Times New Roman"/>
                <w:b/>
                <w:szCs w:val="28"/>
                <w:lang w:val="vi-VN"/>
              </w:rPr>
            </w:pPr>
            <w:r w:rsidRPr="00D67C7E">
              <w:rPr>
                <w:rFonts w:eastAsia="Times New Roman" w:cs="Times New Roman"/>
                <w:b/>
                <w:szCs w:val="28"/>
              </w:rPr>
              <w:t xml:space="preserve"> </w:t>
            </w:r>
            <w:r w:rsidR="002765D8" w:rsidRPr="00D67C7E">
              <w:rPr>
                <w:rFonts w:eastAsia="Times New Roman" w:cs="Times New Roman"/>
                <w:b/>
                <w:szCs w:val="28"/>
              </w:rPr>
              <w:t xml:space="preserve">            </w:t>
            </w:r>
            <w:r w:rsidR="00221179" w:rsidRPr="00D67C7E">
              <w:rPr>
                <w:rFonts w:eastAsia="Times New Roman" w:cs="Times New Roman"/>
                <w:b/>
                <w:szCs w:val="28"/>
              </w:rPr>
              <w:t xml:space="preserve">  </w:t>
            </w:r>
            <w:r w:rsidR="002765D8" w:rsidRPr="00D67C7E">
              <w:rPr>
                <w:rFonts w:eastAsia="Times New Roman" w:cs="Times New Roman"/>
                <w:b/>
                <w:szCs w:val="28"/>
              </w:rPr>
              <w:t xml:space="preserve">  </w:t>
            </w:r>
            <w:r w:rsidR="007B6E8E" w:rsidRPr="00D67C7E">
              <w:rPr>
                <w:rFonts w:eastAsia="Times New Roman" w:cs="Times New Roman"/>
                <w:b/>
                <w:szCs w:val="28"/>
                <w:lang w:val="vi-VN"/>
              </w:rPr>
              <w:t>Lê Thị Thủy</w:t>
            </w:r>
          </w:p>
          <w:p w:rsidR="007B6E8E" w:rsidRPr="00D67C7E" w:rsidRDefault="007B6E8E" w:rsidP="007B6E8E">
            <w:pPr>
              <w:spacing w:before="120" w:after="120" w:line="234" w:lineRule="atLeast"/>
              <w:jc w:val="center"/>
              <w:rPr>
                <w:rFonts w:eastAsia="Times New Roman" w:cs="Times New Roman"/>
                <w:szCs w:val="28"/>
              </w:rPr>
            </w:pPr>
          </w:p>
          <w:p w:rsidR="007B6E8E" w:rsidRPr="00D67C7E" w:rsidRDefault="007B6E8E" w:rsidP="007B6E8E">
            <w:pPr>
              <w:spacing w:before="120" w:after="120" w:line="234" w:lineRule="atLeast"/>
              <w:jc w:val="center"/>
              <w:rPr>
                <w:rFonts w:eastAsia="Times New Roman" w:cs="Times New Roman"/>
                <w:szCs w:val="28"/>
              </w:rPr>
            </w:pPr>
          </w:p>
          <w:p w:rsidR="007B6E8E" w:rsidRPr="00D67C7E" w:rsidRDefault="007B6E8E" w:rsidP="007B6E8E">
            <w:pPr>
              <w:spacing w:before="120" w:after="120" w:line="234" w:lineRule="atLeast"/>
              <w:jc w:val="center"/>
              <w:rPr>
                <w:rFonts w:eastAsia="Times New Roman" w:cs="Times New Roman"/>
                <w:szCs w:val="28"/>
              </w:rPr>
            </w:pPr>
          </w:p>
        </w:tc>
      </w:tr>
      <w:tr w:rsidR="00D67C7E" w:rsidRPr="00D67C7E" w:rsidTr="007B6E8E">
        <w:trPr>
          <w:tblCellSpacing w:w="0" w:type="dxa"/>
        </w:trPr>
        <w:tc>
          <w:tcPr>
            <w:tcW w:w="5044" w:type="dxa"/>
            <w:shd w:val="clear" w:color="auto" w:fill="FFFFFF"/>
          </w:tcPr>
          <w:p w:rsidR="002765D8" w:rsidRPr="00D67C7E" w:rsidRDefault="002765D8" w:rsidP="007B6E8E">
            <w:pPr>
              <w:spacing w:after="0" w:line="240" w:lineRule="auto"/>
              <w:rPr>
                <w:rFonts w:eastAsia="Times New Roman" w:cs="Times New Roman"/>
                <w:sz w:val="18"/>
                <w:szCs w:val="18"/>
                <w:lang w:val="de-DE"/>
              </w:rPr>
            </w:pPr>
          </w:p>
        </w:tc>
        <w:tc>
          <w:tcPr>
            <w:tcW w:w="3977" w:type="dxa"/>
            <w:shd w:val="clear" w:color="auto" w:fill="FFFFFF"/>
            <w:tcMar>
              <w:top w:w="0" w:type="dxa"/>
              <w:left w:w="108" w:type="dxa"/>
              <w:bottom w:w="0" w:type="dxa"/>
              <w:right w:w="108" w:type="dxa"/>
            </w:tcMar>
          </w:tcPr>
          <w:p w:rsidR="002765D8" w:rsidRPr="00D67C7E" w:rsidRDefault="002765D8" w:rsidP="007B6E8E">
            <w:pPr>
              <w:spacing w:before="120" w:after="120" w:line="234" w:lineRule="atLeast"/>
              <w:jc w:val="center"/>
              <w:rPr>
                <w:rFonts w:eastAsia="Times New Roman" w:cs="Times New Roman"/>
                <w:b/>
                <w:bCs/>
                <w:szCs w:val="28"/>
                <w:lang w:val="de-DE"/>
              </w:rPr>
            </w:pPr>
          </w:p>
        </w:tc>
      </w:tr>
    </w:tbl>
    <w:p w:rsidR="002A2B72" w:rsidRPr="00D67C7E" w:rsidRDefault="002A2B72" w:rsidP="00AA0400">
      <w:pPr>
        <w:rPr>
          <w:rFonts w:cs="Times New Roman"/>
        </w:rPr>
      </w:pPr>
    </w:p>
    <w:sectPr w:rsidR="002A2B72" w:rsidRPr="00D67C7E" w:rsidSect="00762272">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23" w:rsidRDefault="00B83023" w:rsidP="00031E92">
      <w:pPr>
        <w:spacing w:after="0" w:line="240" w:lineRule="auto"/>
      </w:pPr>
      <w:r>
        <w:separator/>
      </w:r>
    </w:p>
  </w:endnote>
  <w:endnote w:type="continuationSeparator" w:id="0">
    <w:p w:rsidR="00B83023" w:rsidRDefault="00B83023" w:rsidP="000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23" w:rsidRDefault="00B83023" w:rsidP="00031E92">
      <w:pPr>
        <w:spacing w:after="0" w:line="240" w:lineRule="auto"/>
      </w:pPr>
      <w:r>
        <w:separator/>
      </w:r>
    </w:p>
  </w:footnote>
  <w:footnote w:type="continuationSeparator" w:id="0">
    <w:p w:rsidR="00B83023" w:rsidRDefault="00B83023" w:rsidP="0003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49479"/>
      <w:docPartObj>
        <w:docPartGallery w:val="Page Numbers (Top of Page)"/>
        <w:docPartUnique/>
      </w:docPartObj>
    </w:sdtPr>
    <w:sdtEndPr>
      <w:rPr>
        <w:noProof/>
      </w:rPr>
    </w:sdtEndPr>
    <w:sdtContent>
      <w:p w:rsidR="00031E92" w:rsidRDefault="007815B1" w:rsidP="00180CA5">
        <w:pPr>
          <w:pStyle w:val="Header"/>
          <w:jc w:val="center"/>
        </w:pPr>
        <w:r>
          <w:fldChar w:fldCharType="begin"/>
        </w:r>
        <w:r w:rsidR="00031E92">
          <w:instrText xml:space="preserve"> PAGE   \* MERGEFORMAT </w:instrText>
        </w:r>
        <w:r>
          <w:fldChar w:fldCharType="separate"/>
        </w:r>
        <w:r w:rsidR="00AF2006">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04FFC"/>
    <w:multiLevelType w:val="hybridMultilevel"/>
    <w:tmpl w:val="D5780E1C"/>
    <w:lvl w:ilvl="0" w:tplc="8AF684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63"/>
    <w:rsid w:val="000076B7"/>
    <w:rsid w:val="00010350"/>
    <w:rsid w:val="000248EB"/>
    <w:rsid w:val="00031747"/>
    <w:rsid w:val="00031E92"/>
    <w:rsid w:val="0003651D"/>
    <w:rsid w:val="00064FEF"/>
    <w:rsid w:val="00066B01"/>
    <w:rsid w:val="00085303"/>
    <w:rsid w:val="000A5803"/>
    <w:rsid w:val="000C2494"/>
    <w:rsid w:val="000F27B4"/>
    <w:rsid w:val="000F7AD3"/>
    <w:rsid w:val="00110C71"/>
    <w:rsid w:val="00113FA9"/>
    <w:rsid w:val="001436EF"/>
    <w:rsid w:val="00143BBD"/>
    <w:rsid w:val="001472F9"/>
    <w:rsid w:val="0017592D"/>
    <w:rsid w:val="00180CA5"/>
    <w:rsid w:val="001847A3"/>
    <w:rsid w:val="001926BD"/>
    <w:rsid w:val="001A67BA"/>
    <w:rsid w:val="001B7685"/>
    <w:rsid w:val="001D7BD9"/>
    <w:rsid w:val="001F3CD8"/>
    <w:rsid w:val="0021250B"/>
    <w:rsid w:val="00220747"/>
    <w:rsid w:val="00221179"/>
    <w:rsid w:val="00226C9B"/>
    <w:rsid w:val="002665C1"/>
    <w:rsid w:val="002714BE"/>
    <w:rsid w:val="002765D8"/>
    <w:rsid w:val="002A2B72"/>
    <w:rsid w:val="002A628E"/>
    <w:rsid w:val="002B31D8"/>
    <w:rsid w:val="002C29AA"/>
    <w:rsid w:val="002D61D6"/>
    <w:rsid w:val="002E274B"/>
    <w:rsid w:val="002F1BCC"/>
    <w:rsid w:val="002F6B98"/>
    <w:rsid w:val="003107A8"/>
    <w:rsid w:val="003262C8"/>
    <w:rsid w:val="003376AF"/>
    <w:rsid w:val="00396FB6"/>
    <w:rsid w:val="003A1072"/>
    <w:rsid w:val="003B6CC4"/>
    <w:rsid w:val="00407DF8"/>
    <w:rsid w:val="00436864"/>
    <w:rsid w:val="00451611"/>
    <w:rsid w:val="004550E4"/>
    <w:rsid w:val="00457071"/>
    <w:rsid w:val="00464F20"/>
    <w:rsid w:val="00466ACE"/>
    <w:rsid w:val="0047520F"/>
    <w:rsid w:val="004A54EC"/>
    <w:rsid w:val="004B3D69"/>
    <w:rsid w:val="004C58A9"/>
    <w:rsid w:val="004F641C"/>
    <w:rsid w:val="004F69C1"/>
    <w:rsid w:val="00515393"/>
    <w:rsid w:val="005171C2"/>
    <w:rsid w:val="005362AF"/>
    <w:rsid w:val="00536BF4"/>
    <w:rsid w:val="005806EC"/>
    <w:rsid w:val="0058435B"/>
    <w:rsid w:val="005A1A1E"/>
    <w:rsid w:val="005A54B5"/>
    <w:rsid w:val="005B2FAF"/>
    <w:rsid w:val="005C0DBE"/>
    <w:rsid w:val="005C3F9C"/>
    <w:rsid w:val="005E3D93"/>
    <w:rsid w:val="005F01D7"/>
    <w:rsid w:val="00603F42"/>
    <w:rsid w:val="00612EE2"/>
    <w:rsid w:val="006442D6"/>
    <w:rsid w:val="00666064"/>
    <w:rsid w:val="006673AE"/>
    <w:rsid w:val="00681B40"/>
    <w:rsid w:val="00685871"/>
    <w:rsid w:val="00691420"/>
    <w:rsid w:val="006A5AE0"/>
    <w:rsid w:val="006A612D"/>
    <w:rsid w:val="006B50F9"/>
    <w:rsid w:val="006C3648"/>
    <w:rsid w:val="006E3B50"/>
    <w:rsid w:val="006E5B7B"/>
    <w:rsid w:val="00753263"/>
    <w:rsid w:val="007546D9"/>
    <w:rsid w:val="00757F07"/>
    <w:rsid w:val="0076144C"/>
    <w:rsid w:val="00761E26"/>
    <w:rsid w:val="00762272"/>
    <w:rsid w:val="0076698E"/>
    <w:rsid w:val="007815B1"/>
    <w:rsid w:val="00790C09"/>
    <w:rsid w:val="0079784C"/>
    <w:rsid w:val="007A4856"/>
    <w:rsid w:val="007B2B4E"/>
    <w:rsid w:val="007B3575"/>
    <w:rsid w:val="007B6E8E"/>
    <w:rsid w:val="007C110D"/>
    <w:rsid w:val="007C1F8A"/>
    <w:rsid w:val="007C2ED8"/>
    <w:rsid w:val="007D3BCE"/>
    <w:rsid w:val="007E5F36"/>
    <w:rsid w:val="007F4FC6"/>
    <w:rsid w:val="0080072E"/>
    <w:rsid w:val="008200E4"/>
    <w:rsid w:val="008210EE"/>
    <w:rsid w:val="008602B5"/>
    <w:rsid w:val="00883FDB"/>
    <w:rsid w:val="008917E9"/>
    <w:rsid w:val="008A6F2D"/>
    <w:rsid w:val="008C4832"/>
    <w:rsid w:val="008C6762"/>
    <w:rsid w:val="008E5063"/>
    <w:rsid w:val="008F68BC"/>
    <w:rsid w:val="00900B33"/>
    <w:rsid w:val="00910BD7"/>
    <w:rsid w:val="00911EB3"/>
    <w:rsid w:val="009146E3"/>
    <w:rsid w:val="00920078"/>
    <w:rsid w:val="009275DD"/>
    <w:rsid w:val="0093382D"/>
    <w:rsid w:val="00980CEC"/>
    <w:rsid w:val="00986BC1"/>
    <w:rsid w:val="00991DDE"/>
    <w:rsid w:val="009A3E7E"/>
    <w:rsid w:val="009E30BF"/>
    <w:rsid w:val="00A04E73"/>
    <w:rsid w:val="00A10DA8"/>
    <w:rsid w:val="00A17DDB"/>
    <w:rsid w:val="00A36F59"/>
    <w:rsid w:val="00A9129C"/>
    <w:rsid w:val="00AA0400"/>
    <w:rsid w:val="00AA1C78"/>
    <w:rsid w:val="00AD4AE6"/>
    <w:rsid w:val="00AE6615"/>
    <w:rsid w:val="00AF2006"/>
    <w:rsid w:val="00AF594B"/>
    <w:rsid w:val="00B01641"/>
    <w:rsid w:val="00B17393"/>
    <w:rsid w:val="00B2255B"/>
    <w:rsid w:val="00B375B5"/>
    <w:rsid w:val="00B83023"/>
    <w:rsid w:val="00B85216"/>
    <w:rsid w:val="00B951F4"/>
    <w:rsid w:val="00BB537C"/>
    <w:rsid w:val="00BC5D82"/>
    <w:rsid w:val="00BD1214"/>
    <w:rsid w:val="00BD6B4B"/>
    <w:rsid w:val="00BE474B"/>
    <w:rsid w:val="00BF4AF6"/>
    <w:rsid w:val="00C06EBD"/>
    <w:rsid w:val="00C17CA8"/>
    <w:rsid w:val="00C30782"/>
    <w:rsid w:val="00C409A1"/>
    <w:rsid w:val="00C42C4C"/>
    <w:rsid w:val="00C71053"/>
    <w:rsid w:val="00C93151"/>
    <w:rsid w:val="00CA53AD"/>
    <w:rsid w:val="00CE0FE1"/>
    <w:rsid w:val="00CF1A48"/>
    <w:rsid w:val="00D01EBC"/>
    <w:rsid w:val="00D0634B"/>
    <w:rsid w:val="00D55E35"/>
    <w:rsid w:val="00D5748F"/>
    <w:rsid w:val="00D60DFE"/>
    <w:rsid w:val="00D67C7E"/>
    <w:rsid w:val="00D7234E"/>
    <w:rsid w:val="00DC1E1B"/>
    <w:rsid w:val="00DC76B4"/>
    <w:rsid w:val="00DD1E3E"/>
    <w:rsid w:val="00DE4D5B"/>
    <w:rsid w:val="00DE7423"/>
    <w:rsid w:val="00E162A9"/>
    <w:rsid w:val="00E22C21"/>
    <w:rsid w:val="00E31F3E"/>
    <w:rsid w:val="00E35C5B"/>
    <w:rsid w:val="00E53F12"/>
    <w:rsid w:val="00E8321B"/>
    <w:rsid w:val="00E8602F"/>
    <w:rsid w:val="00E954A2"/>
    <w:rsid w:val="00F04F53"/>
    <w:rsid w:val="00F11D0A"/>
    <w:rsid w:val="00F26312"/>
    <w:rsid w:val="00F461FB"/>
    <w:rsid w:val="00F53163"/>
    <w:rsid w:val="00F609C4"/>
    <w:rsid w:val="00F745FB"/>
    <w:rsid w:val="00F802AE"/>
    <w:rsid w:val="00F928A2"/>
    <w:rsid w:val="00F937D4"/>
    <w:rsid w:val="00FA5139"/>
    <w:rsid w:val="00FC1B41"/>
    <w:rsid w:val="00FC2101"/>
    <w:rsid w:val="00FD1507"/>
    <w:rsid w:val="00FE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F1D37-D91D-4AC4-AB39-6A6766ED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B1"/>
  </w:style>
  <w:style w:type="paragraph" w:styleId="Heading3">
    <w:name w:val="heading 3"/>
    <w:basedOn w:val="Normal"/>
    <w:next w:val="Normal"/>
    <w:link w:val="Heading3Char"/>
    <w:qFormat/>
    <w:rsid w:val="006A612D"/>
    <w:pPr>
      <w:keepNext/>
      <w:spacing w:after="0" w:line="240" w:lineRule="auto"/>
      <w:outlineLvl w:val="2"/>
    </w:pPr>
    <w:rPr>
      <w:rFonts w:ascii="VNI-Times" w:eastAsia="Times New Roman" w:hAnsi="VN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06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E5063"/>
    <w:rPr>
      <w:color w:val="0000FF"/>
      <w:u w:val="single"/>
    </w:rPr>
  </w:style>
  <w:style w:type="character" w:customStyle="1" w:styleId="Heading3Char">
    <w:name w:val="Heading 3 Char"/>
    <w:basedOn w:val="DefaultParagraphFont"/>
    <w:link w:val="Heading3"/>
    <w:rsid w:val="006A612D"/>
    <w:rPr>
      <w:rFonts w:ascii="VNI-Times" w:eastAsia="Times New Roman" w:hAnsi="VNI-Times" w:cs="Times New Roman"/>
      <w:b/>
      <w:sz w:val="24"/>
      <w:szCs w:val="20"/>
    </w:rPr>
  </w:style>
  <w:style w:type="paragraph" w:styleId="Header">
    <w:name w:val="header"/>
    <w:basedOn w:val="Normal"/>
    <w:link w:val="HeaderChar"/>
    <w:uiPriority w:val="99"/>
    <w:unhideWhenUsed/>
    <w:rsid w:val="0003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E92"/>
  </w:style>
  <w:style w:type="paragraph" w:styleId="Footer">
    <w:name w:val="footer"/>
    <w:basedOn w:val="Normal"/>
    <w:link w:val="FooterChar"/>
    <w:uiPriority w:val="99"/>
    <w:unhideWhenUsed/>
    <w:rsid w:val="0003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E92"/>
  </w:style>
  <w:style w:type="paragraph" w:styleId="BalloonText">
    <w:name w:val="Balloon Text"/>
    <w:basedOn w:val="Normal"/>
    <w:link w:val="BalloonTextChar"/>
    <w:uiPriority w:val="99"/>
    <w:semiHidden/>
    <w:unhideWhenUsed/>
    <w:rsid w:val="00466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CE"/>
    <w:rPr>
      <w:rFonts w:ascii="Segoe UI" w:hAnsi="Segoe UI" w:cs="Segoe UI"/>
      <w:sz w:val="18"/>
      <w:szCs w:val="18"/>
    </w:rPr>
  </w:style>
  <w:style w:type="character" w:styleId="Emphasis">
    <w:name w:val="Emphasis"/>
    <w:basedOn w:val="DefaultParagraphFont"/>
    <w:uiPriority w:val="20"/>
    <w:qFormat/>
    <w:rsid w:val="001D7BD9"/>
    <w:rPr>
      <w:i/>
      <w:iCs/>
    </w:rPr>
  </w:style>
  <w:style w:type="character" w:customStyle="1" w:styleId="doclink">
    <w:name w:val="doclink"/>
    <w:basedOn w:val="DefaultParagraphFont"/>
    <w:rsid w:val="001D7BD9"/>
  </w:style>
  <w:style w:type="paragraph" w:styleId="ListParagraph">
    <w:name w:val="List Paragraph"/>
    <w:basedOn w:val="Normal"/>
    <w:uiPriority w:val="34"/>
    <w:qFormat/>
    <w:rsid w:val="004C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344">
      <w:bodyDiv w:val="1"/>
      <w:marLeft w:val="0"/>
      <w:marRight w:val="0"/>
      <w:marTop w:val="0"/>
      <w:marBottom w:val="0"/>
      <w:divBdr>
        <w:top w:val="none" w:sz="0" w:space="0" w:color="auto"/>
        <w:left w:val="none" w:sz="0" w:space="0" w:color="auto"/>
        <w:bottom w:val="none" w:sz="0" w:space="0" w:color="auto"/>
        <w:right w:val="none" w:sz="0" w:space="0" w:color="auto"/>
      </w:divBdr>
    </w:div>
    <w:div w:id="933978824">
      <w:bodyDiv w:val="1"/>
      <w:marLeft w:val="0"/>
      <w:marRight w:val="0"/>
      <w:marTop w:val="0"/>
      <w:marBottom w:val="0"/>
      <w:divBdr>
        <w:top w:val="none" w:sz="0" w:space="0" w:color="auto"/>
        <w:left w:val="none" w:sz="0" w:space="0" w:color="auto"/>
        <w:bottom w:val="none" w:sz="0" w:space="0" w:color="auto"/>
        <w:right w:val="none" w:sz="0" w:space="0" w:color="auto"/>
      </w:divBdr>
    </w:div>
    <w:div w:id="12968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A3CE1-84E3-4979-9F4C-A285A5E659C5}"/>
</file>

<file path=customXml/itemProps2.xml><?xml version="1.0" encoding="utf-8"?>
<ds:datastoreItem xmlns:ds="http://schemas.openxmlformats.org/officeDocument/2006/customXml" ds:itemID="{9A781855-C84C-429E-B205-25F0604FA761}"/>
</file>

<file path=customXml/itemProps3.xml><?xml version="1.0" encoding="utf-8"?>
<ds:datastoreItem xmlns:ds="http://schemas.openxmlformats.org/officeDocument/2006/customXml" ds:itemID="{1DF8C5C7-6AEF-4629-9A0E-CA892AEE665F}"/>
</file>

<file path=docProps/app.xml><?xml version="1.0" encoding="utf-8"?>
<Properties xmlns="http://schemas.openxmlformats.org/officeDocument/2006/extended-properties" xmlns:vt="http://schemas.openxmlformats.org/officeDocument/2006/docPropsVTypes">
  <Template>Normal.dotm</Template>
  <TotalTime>72</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Minh</dc:creator>
  <cp:lastModifiedBy>SNV Hoa</cp:lastModifiedBy>
  <cp:revision>16</cp:revision>
  <cp:lastPrinted>2024-09-24T00:27:00Z</cp:lastPrinted>
  <dcterms:created xsi:type="dcterms:W3CDTF">2024-12-19T13:37:00Z</dcterms:created>
  <dcterms:modified xsi:type="dcterms:W3CDTF">2024-12-20T10:16:00Z</dcterms:modified>
</cp:coreProperties>
</file>